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5D7EF" w14:textId="289C4301" w:rsidR="000D2DC5" w:rsidRDefault="000D2DC5" w:rsidP="009B596E">
      <w:pPr>
        <w:pStyle w:val="Heading2"/>
        <w:tabs>
          <w:tab w:val="left" w:pos="2440"/>
        </w:tabs>
      </w:pPr>
      <w:bookmarkStart w:id="0" w:name="_Toc181619427"/>
      <w:commentRangeStart w:id="1"/>
      <w:r w:rsidRPr="008546CD">
        <w:t xml:space="preserve">Health </w:t>
      </w:r>
      <w:commentRangeEnd w:id="1"/>
      <w:r>
        <w:rPr>
          <w:rStyle w:val="CommentReference"/>
          <w:rFonts w:eastAsiaTheme="minorHAnsi" w:cstheme="minorBidi"/>
          <w:color w:val="auto"/>
        </w:rPr>
        <w:commentReference w:id="1"/>
      </w:r>
      <w:r w:rsidRPr="008546CD">
        <w:t>Plans</w:t>
      </w:r>
      <w:bookmarkEnd w:id="0"/>
      <w:r w:rsidR="009B596E">
        <w:tab/>
      </w:r>
    </w:p>
    <w:p w14:paraId="7F917211" w14:textId="77777777" w:rsidR="009B596E" w:rsidRDefault="009B596E" w:rsidP="009B596E">
      <w:r w:rsidRPr="006825A4">
        <w:t>Checklists: The checklist translates the Bree guidelines into action steps for that sector (i.e., clinician, health delivery site, public health, etc.). The action items have been arranged into levels 1, 2, and 3 to correspond to the difficulty level of implementing the action into the sectors’ setting. Bree staff co-created the checklists with report workgroup members and topic experts.</w:t>
      </w:r>
    </w:p>
    <w:p w14:paraId="09D1E094" w14:textId="77777777" w:rsidR="009B596E" w:rsidRDefault="009B596E" w:rsidP="009B596E"/>
    <w:p w14:paraId="53A13E8B" w14:textId="77777777" w:rsidR="00956514" w:rsidRPr="00A02B98" w:rsidRDefault="00956514" w:rsidP="009B596E">
      <w:pPr>
        <w:numPr>
          <w:ilvl w:val="0"/>
          <w:numId w:val="2"/>
        </w:numPr>
      </w:pPr>
      <w:r w:rsidRPr="00A02B98">
        <w:t xml:space="preserve">Level 1 actions (introductory): activities that provide a starting place to improve care including advancing audience knowledge and self-efficacy in addressing the health topic. These activities may be able to be incorporated into existing workflows. </w:t>
      </w:r>
    </w:p>
    <w:p w14:paraId="6BE93DD9" w14:textId="77777777" w:rsidR="00956514" w:rsidRPr="00A02B98" w:rsidRDefault="00956514" w:rsidP="009B596E">
      <w:pPr>
        <w:numPr>
          <w:ilvl w:val="1"/>
          <w:numId w:val="2"/>
        </w:numPr>
      </w:pPr>
      <w:r w:rsidRPr="00A02B98">
        <w:t xml:space="preserve">Note: These actions are to be encouraging for individuals to begin treating the chosen health topic. </w:t>
      </w:r>
    </w:p>
    <w:p w14:paraId="6DF6A87D" w14:textId="77777777" w:rsidR="00956514" w:rsidRPr="00A02B98" w:rsidRDefault="00956514" w:rsidP="009B596E">
      <w:pPr>
        <w:numPr>
          <w:ilvl w:val="0"/>
          <w:numId w:val="2"/>
        </w:numPr>
      </w:pPr>
      <w:r w:rsidRPr="00A02B98">
        <w:t xml:space="preserve">Level 2 actions (intermediate): activities that may require collaboration, new workflows, and resources to accomplish. </w:t>
      </w:r>
    </w:p>
    <w:p w14:paraId="2AAAAA97" w14:textId="77777777" w:rsidR="00956514" w:rsidRPr="00A02B98" w:rsidRDefault="00956514" w:rsidP="009B596E">
      <w:pPr>
        <w:numPr>
          <w:ilvl w:val="0"/>
          <w:numId w:val="2"/>
        </w:numPr>
      </w:pPr>
      <w:r w:rsidRPr="00A02B98">
        <w:t xml:space="preserve">Level 3 actions (advanced): activities that may require higher collaboration, resources, funding, and time to accomplish. </w:t>
      </w:r>
    </w:p>
    <w:p w14:paraId="6E043AC9" w14:textId="77777777" w:rsidR="004457A4" w:rsidRDefault="004457A4">
      <w:r>
        <w:t>Level 1</w:t>
      </w:r>
    </w:p>
    <w:p w14:paraId="39264B17" w14:textId="77777777" w:rsidR="00CE3BA6" w:rsidRDefault="00CE3BA6" w:rsidP="00CE3BA6">
      <w:pPr>
        <w:pStyle w:val="Heading4"/>
      </w:pPr>
      <w:r w:rsidRPr="008F53FE">
        <w:rPr>
          <w:rStyle w:val="Emphasis"/>
        </w:rPr>
        <w:t>Education</w:t>
      </w:r>
      <w:r>
        <w:rPr>
          <w:rStyle w:val="Emphasis"/>
        </w:rPr>
        <w:t>/Capacity Building</w:t>
      </w:r>
    </w:p>
    <w:p w14:paraId="0D1B7C36" w14:textId="77777777" w:rsidR="00CE3BA6" w:rsidRPr="00051CC5" w:rsidRDefault="00CE3BA6" w:rsidP="00CE3BA6">
      <w:pPr>
        <w:pStyle w:val="ListParagraph"/>
        <w:numPr>
          <w:ilvl w:val="0"/>
          <w:numId w:val="3"/>
        </w:numPr>
      </w:pPr>
      <w:r w:rsidRPr="00B972F0">
        <w:rPr>
          <w:b/>
          <w:bCs/>
        </w:rPr>
        <w:t xml:space="preserve">Educate members in </w:t>
      </w:r>
      <w:r>
        <w:rPr>
          <w:b/>
          <w:bCs/>
        </w:rPr>
        <w:t>separate pamphlet</w:t>
      </w:r>
      <w:r w:rsidRPr="00B972F0">
        <w:rPr>
          <w:b/>
          <w:bCs/>
        </w:rPr>
        <w:t xml:space="preserve"> on available behavioral health services</w:t>
      </w:r>
      <w:r>
        <w:t xml:space="preserve"> available </w:t>
      </w:r>
      <w:r w:rsidRPr="00051CC5">
        <w:t>at enrollment and annually</w:t>
      </w:r>
    </w:p>
    <w:p w14:paraId="7278E8B3" w14:textId="77777777" w:rsidR="00CE3BA6" w:rsidRPr="006862D1" w:rsidRDefault="00CE3BA6" w:rsidP="00CE3BA6">
      <w:pPr>
        <w:pStyle w:val="ListParagraph"/>
        <w:numPr>
          <w:ilvl w:val="0"/>
          <w:numId w:val="3"/>
        </w:numPr>
        <w:rPr>
          <w:b/>
          <w:bCs/>
        </w:rPr>
      </w:pPr>
      <w:r w:rsidRPr="00424437">
        <w:rPr>
          <w:b/>
          <w:bCs/>
        </w:rPr>
        <w:t>Inform in-network clinicians/clinics and members</w:t>
      </w:r>
      <w:r>
        <w:t>:</w:t>
      </w:r>
    </w:p>
    <w:p w14:paraId="23840700" w14:textId="77777777" w:rsidR="00CE3BA6" w:rsidRPr="006862D1" w:rsidRDefault="00CE3BA6" w:rsidP="00CE3BA6">
      <w:pPr>
        <w:pStyle w:val="ListParagraph"/>
        <w:numPr>
          <w:ilvl w:val="1"/>
          <w:numId w:val="3"/>
        </w:numPr>
        <w:rPr>
          <w:b/>
          <w:bCs/>
        </w:rPr>
      </w:pPr>
      <w:r>
        <w:t xml:space="preserve">Lack of </w:t>
      </w:r>
      <w:r w:rsidRPr="00051CC5">
        <w:t xml:space="preserve">that there is no </w:t>
      </w:r>
      <w:commentRangeStart w:id="2"/>
      <w:commentRangeStart w:id="3"/>
      <w:r w:rsidRPr="00051CC5">
        <w:t xml:space="preserve">increase in cost-sharing </w:t>
      </w:r>
      <w:commentRangeEnd w:id="2"/>
      <w:r w:rsidRPr="00051CC5">
        <w:rPr>
          <w:rStyle w:val="CommentReference"/>
        </w:rPr>
        <w:commentReference w:id="2"/>
      </w:r>
      <w:commentRangeEnd w:id="3"/>
      <w:r w:rsidRPr="00051CC5">
        <w:rPr>
          <w:rStyle w:val="CommentReference"/>
        </w:rPr>
        <w:commentReference w:id="3"/>
      </w:r>
      <w:r w:rsidRPr="00051CC5">
        <w:t>for beh</w:t>
      </w:r>
      <w:r>
        <w:t xml:space="preserve">avioral health screening in primary care </w:t>
      </w:r>
    </w:p>
    <w:p w14:paraId="1B0D5B1A" w14:textId="77777777" w:rsidR="00CE3BA6" w:rsidRDefault="00CE3BA6" w:rsidP="00CE3BA6">
      <w:pPr>
        <w:pStyle w:val="ListParagraph"/>
        <w:numPr>
          <w:ilvl w:val="1"/>
          <w:numId w:val="3"/>
        </w:numPr>
        <w:rPr>
          <w:b/>
          <w:bCs/>
        </w:rPr>
      </w:pPr>
      <w:r>
        <w:t>privacy protocols for billing statements</w:t>
      </w:r>
    </w:p>
    <w:p w14:paraId="6A6CAE96" w14:textId="77777777" w:rsidR="00CE3BA6" w:rsidRDefault="00CE3BA6" w:rsidP="00CE3BA6">
      <w:pPr>
        <w:pStyle w:val="ListParagraph"/>
        <w:numPr>
          <w:ilvl w:val="0"/>
          <w:numId w:val="3"/>
        </w:numPr>
      </w:pPr>
      <w:r w:rsidRPr="006862D1">
        <w:rPr>
          <w:b/>
          <w:bCs/>
        </w:rPr>
        <w:t>Train staff on HIPAA regulations</w:t>
      </w:r>
      <w:r>
        <w:t xml:space="preserve"> and any additional state-specific privacy laws pertaining to healthcare records for individuals under 18. </w:t>
      </w:r>
    </w:p>
    <w:p w14:paraId="6672AEE5" w14:textId="77777777" w:rsidR="00CE3BA6" w:rsidRDefault="00CE3BA6" w:rsidP="00CE3BA6">
      <w:pPr>
        <w:pStyle w:val="ListParagraph"/>
        <w:numPr>
          <w:ilvl w:val="0"/>
          <w:numId w:val="3"/>
        </w:numPr>
      </w:pPr>
      <w:r w:rsidRPr="00424437">
        <w:rPr>
          <w:b/>
          <w:bCs/>
        </w:rPr>
        <w:t xml:space="preserve">Train member-facing staff </w:t>
      </w:r>
      <w:r>
        <w:t xml:space="preserve">annually on the following: </w:t>
      </w:r>
    </w:p>
    <w:p w14:paraId="58AC7170" w14:textId="77777777" w:rsidR="00CE3BA6" w:rsidRDefault="00CE3BA6" w:rsidP="00CE3BA6">
      <w:pPr>
        <w:pStyle w:val="ListParagraph"/>
        <w:numPr>
          <w:ilvl w:val="1"/>
          <w:numId w:val="3"/>
        </w:numPr>
      </w:pPr>
      <w:r>
        <w:t>Stigma and bias towards people with behavioral health concerns</w:t>
      </w:r>
    </w:p>
    <w:p w14:paraId="6A88C541" w14:textId="77777777" w:rsidR="00CE3BA6" w:rsidRPr="00174AF7" w:rsidRDefault="00CE3BA6" w:rsidP="00CE3BA6">
      <w:pPr>
        <w:pStyle w:val="ListParagraph"/>
        <w:numPr>
          <w:ilvl w:val="1"/>
          <w:numId w:val="3"/>
        </w:numPr>
      </w:pPr>
      <w:r>
        <w:t>Special considerations for communities at risk for behavioral health concerns</w:t>
      </w:r>
    </w:p>
    <w:p w14:paraId="1C043A36" w14:textId="77777777" w:rsidR="00CE3BA6" w:rsidRPr="00174AF7" w:rsidRDefault="00CE3BA6" w:rsidP="00CE3BA6">
      <w:pPr>
        <w:pStyle w:val="ListParagraph"/>
        <w:numPr>
          <w:ilvl w:val="0"/>
          <w:numId w:val="3"/>
        </w:numPr>
      </w:pPr>
      <w:r w:rsidRPr="00424437">
        <w:rPr>
          <w:b/>
          <w:bCs/>
        </w:rPr>
        <w:t>Ensure disclosure of benefit statements</w:t>
      </w:r>
      <w:r>
        <w:t xml:space="preserve"> are compliant with state-specific privacy laws referenced above. </w:t>
      </w:r>
    </w:p>
    <w:p w14:paraId="3DEF5A18" w14:textId="77777777" w:rsidR="0042079D" w:rsidRDefault="0042079D" w:rsidP="0042079D">
      <w:pPr>
        <w:pStyle w:val="Heading4"/>
      </w:pPr>
      <w:r>
        <w:t>Co-management</w:t>
      </w:r>
    </w:p>
    <w:p w14:paraId="6B4B0C5D" w14:textId="188C0D69" w:rsidR="00CE3BA6" w:rsidRDefault="0042079D" w:rsidP="009D156D">
      <w:pPr>
        <w:pStyle w:val="ListParagraph"/>
        <w:numPr>
          <w:ilvl w:val="0"/>
          <w:numId w:val="4"/>
        </w:numPr>
      </w:pPr>
      <w:r w:rsidRPr="008523E2">
        <w:rPr>
          <w:b/>
          <w:bCs/>
        </w:rPr>
        <w:t>Encourage in-network providers</w:t>
      </w:r>
      <w:r w:rsidRPr="0009642B">
        <w:t xml:space="preserve"> to provide </w:t>
      </w:r>
      <w:r>
        <w:t>demographic, cultural, and linguistic information</w:t>
      </w:r>
      <w:r w:rsidRPr="0009642B">
        <w:t xml:space="preserve"> </w:t>
      </w:r>
      <w:r>
        <w:t>accessible by members</w:t>
      </w:r>
    </w:p>
    <w:p w14:paraId="1A5D7FB9" w14:textId="77777777" w:rsidR="00320BD7" w:rsidRDefault="00320BD7" w:rsidP="00320BD7">
      <w:pPr>
        <w:pStyle w:val="Heading4"/>
      </w:pPr>
      <w:commentRangeStart w:id="4"/>
      <w:r>
        <w:t>Data &amp; Measurement</w:t>
      </w:r>
      <w:commentRangeEnd w:id="4"/>
      <w:r>
        <w:rPr>
          <w:rStyle w:val="CommentReference"/>
        </w:rPr>
        <w:commentReference w:id="4"/>
      </w:r>
    </w:p>
    <w:p w14:paraId="0FF9A770" w14:textId="77777777" w:rsidR="00320BD7" w:rsidRDefault="00320BD7" w:rsidP="00320BD7">
      <w:pPr>
        <w:pStyle w:val="ListParagraph"/>
        <w:numPr>
          <w:ilvl w:val="0"/>
          <w:numId w:val="7"/>
        </w:numPr>
      </w:pPr>
      <w:r>
        <w:rPr>
          <w:b/>
          <w:bCs/>
        </w:rPr>
        <w:t>Utilize</w:t>
      </w:r>
      <w:r w:rsidRPr="00C60E68">
        <w:rPr>
          <w:b/>
          <w:bCs/>
        </w:rPr>
        <w:t xml:space="preserve"> </w:t>
      </w:r>
      <w:commentRangeStart w:id="5"/>
      <w:r w:rsidRPr="00C60E68">
        <w:rPr>
          <w:b/>
          <w:bCs/>
        </w:rPr>
        <w:t xml:space="preserve">privacy </w:t>
      </w:r>
      <w:commentRangeEnd w:id="5"/>
      <w:r w:rsidRPr="00C60E68">
        <w:rPr>
          <w:rStyle w:val="CommentReference"/>
          <w:b/>
          <w:bCs/>
        </w:rPr>
        <w:commentReference w:id="5"/>
      </w:r>
      <w:r w:rsidRPr="00C60E68">
        <w:rPr>
          <w:b/>
          <w:bCs/>
        </w:rPr>
        <w:t>protocols and secure systems</w:t>
      </w:r>
      <w:r>
        <w:t xml:space="preserve"> that restrict access to sensitive information based on state-specific privacy laws</w:t>
      </w:r>
    </w:p>
    <w:p w14:paraId="546E93A7" w14:textId="77777777" w:rsidR="00320BD7" w:rsidRDefault="00320BD7" w:rsidP="00320BD7"/>
    <w:p w14:paraId="249FFEED" w14:textId="77777777" w:rsidR="004457A4" w:rsidRDefault="004457A4"/>
    <w:p w14:paraId="38A8ABAC" w14:textId="77777777" w:rsidR="004457A4" w:rsidRDefault="004457A4">
      <w:r>
        <w:t>Level 2</w:t>
      </w:r>
    </w:p>
    <w:p w14:paraId="32632197" w14:textId="77777777" w:rsidR="00821D1F" w:rsidRPr="005B394F" w:rsidRDefault="00821D1F" w:rsidP="00821D1F">
      <w:pPr>
        <w:pStyle w:val="Heading4"/>
        <w:rPr>
          <w:color w:val="auto"/>
        </w:rPr>
      </w:pPr>
      <w:r>
        <w:t>Financial</w:t>
      </w:r>
    </w:p>
    <w:p w14:paraId="60AE044F" w14:textId="77777777" w:rsidR="00821D1F" w:rsidRDefault="00821D1F" w:rsidP="00821D1F">
      <w:pPr>
        <w:pStyle w:val="ListParagraph"/>
        <w:numPr>
          <w:ilvl w:val="0"/>
          <w:numId w:val="1"/>
        </w:numPr>
      </w:pPr>
      <w:r w:rsidRPr="00E902F9">
        <w:rPr>
          <w:b/>
          <w:bCs/>
        </w:rPr>
        <w:t>Include a value-added benefit</w:t>
      </w:r>
      <w:r>
        <w:t xml:space="preserve"> for annual well-child visits including with BH screening</w:t>
      </w:r>
    </w:p>
    <w:p w14:paraId="00ACB85C" w14:textId="77777777" w:rsidR="00CE3BA6" w:rsidRDefault="00CE3BA6" w:rsidP="00CE3BA6">
      <w:pPr>
        <w:pStyle w:val="Heading4"/>
      </w:pPr>
      <w:r w:rsidRPr="008F53FE">
        <w:rPr>
          <w:rStyle w:val="Emphasis"/>
        </w:rPr>
        <w:t>Education</w:t>
      </w:r>
      <w:r>
        <w:rPr>
          <w:rStyle w:val="Emphasis"/>
        </w:rPr>
        <w:t>/Capacity Building</w:t>
      </w:r>
    </w:p>
    <w:p w14:paraId="5F75F960" w14:textId="77777777" w:rsidR="00CE3BA6" w:rsidRDefault="00CE3BA6" w:rsidP="00CE3BA6">
      <w:pPr>
        <w:pStyle w:val="ListParagraph"/>
        <w:numPr>
          <w:ilvl w:val="0"/>
          <w:numId w:val="4"/>
        </w:numPr>
      </w:pPr>
      <w:r w:rsidRPr="00424437">
        <w:rPr>
          <w:b/>
          <w:bCs/>
        </w:rPr>
        <w:t>Explore ways for school-based health center providers</w:t>
      </w:r>
      <w:r>
        <w:t xml:space="preserve"> can bill for services without being assigned to specific dependents or members </w:t>
      </w:r>
    </w:p>
    <w:p w14:paraId="4ACFA8C1" w14:textId="3960E89B" w:rsidR="00BA026B" w:rsidRPr="00884691" w:rsidRDefault="00BA026B" w:rsidP="00884691">
      <w:pPr>
        <w:pStyle w:val="ListParagraph"/>
        <w:numPr>
          <w:ilvl w:val="0"/>
          <w:numId w:val="4"/>
        </w:numPr>
        <w:rPr>
          <w:b/>
          <w:bCs/>
        </w:rPr>
      </w:pPr>
      <w:r w:rsidRPr="00E902F9">
        <w:rPr>
          <w:b/>
          <w:bCs/>
        </w:rPr>
        <w:t>Partner with accountable communities of health</w:t>
      </w:r>
      <w:r>
        <w:t xml:space="preserve"> (ACHs) to for social need referrals and to track closed loop referrals.</w:t>
      </w:r>
    </w:p>
    <w:p w14:paraId="194F1D34" w14:textId="77777777" w:rsidR="00E8070C" w:rsidRDefault="00E8070C" w:rsidP="00E8070C">
      <w:pPr>
        <w:pStyle w:val="ListParagraph"/>
      </w:pPr>
    </w:p>
    <w:p w14:paraId="571792A2" w14:textId="77777777" w:rsidR="0042079D" w:rsidRDefault="0042079D" w:rsidP="0042079D">
      <w:pPr>
        <w:pStyle w:val="Heading4"/>
      </w:pPr>
      <w:r>
        <w:t>Co-management</w:t>
      </w:r>
    </w:p>
    <w:p w14:paraId="3E613BC6" w14:textId="77777777" w:rsidR="0042079D" w:rsidRDefault="0042079D" w:rsidP="0042079D">
      <w:pPr>
        <w:pStyle w:val="ListParagraph"/>
        <w:numPr>
          <w:ilvl w:val="0"/>
          <w:numId w:val="5"/>
        </w:numPr>
      </w:pPr>
      <w:r>
        <w:t xml:space="preserve">Evaluate and expand provider networks when able to form robust network of primary care and behavioral health professionals both in person and through telehealth.  </w:t>
      </w:r>
    </w:p>
    <w:p w14:paraId="45C2643A" w14:textId="77777777" w:rsidR="00B448E3" w:rsidRDefault="00B448E3" w:rsidP="00B448E3">
      <w:pPr>
        <w:pStyle w:val="Heading4"/>
      </w:pPr>
      <w:commentRangeStart w:id="6"/>
      <w:r>
        <w:t>Data &amp; Measurement</w:t>
      </w:r>
      <w:commentRangeEnd w:id="6"/>
      <w:r>
        <w:rPr>
          <w:rStyle w:val="CommentReference"/>
        </w:rPr>
        <w:commentReference w:id="6"/>
      </w:r>
    </w:p>
    <w:p w14:paraId="499A3C17" w14:textId="77777777" w:rsidR="00B448E3" w:rsidRDefault="00B448E3" w:rsidP="00B448E3">
      <w:pPr>
        <w:pStyle w:val="ListParagraph"/>
        <w:numPr>
          <w:ilvl w:val="0"/>
          <w:numId w:val="7"/>
        </w:numPr>
      </w:pPr>
      <w:r>
        <w:rPr>
          <w:b/>
          <w:bCs/>
        </w:rPr>
        <w:t>Stratify measures</w:t>
      </w:r>
      <w:r>
        <w:t xml:space="preserve"> by race, ethnicity, language, SOGI data, and disability as able to identify and intervene to address disparities. See the Bree Collaborative’s </w:t>
      </w:r>
      <w:r w:rsidRPr="2D3F2632">
        <w:rPr>
          <w:b/>
          <w:bCs/>
        </w:rPr>
        <w:t>Youth Behavioral Health</w:t>
      </w:r>
      <w:r>
        <w:t xml:space="preserve"> </w:t>
      </w:r>
      <w:r w:rsidRPr="2D3F2632">
        <w:rPr>
          <w:b/>
          <w:bCs/>
        </w:rPr>
        <w:t>Evaluation Report and Framework</w:t>
      </w:r>
      <w:r>
        <w:t xml:space="preserve">. </w:t>
      </w:r>
    </w:p>
    <w:p w14:paraId="4ABFAE23" w14:textId="77777777" w:rsidR="004457A4" w:rsidRDefault="004457A4"/>
    <w:p w14:paraId="4380B16C" w14:textId="77777777" w:rsidR="004457A4" w:rsidRDefault="004457A4">
      <w:r>
        <w:t>Level 3</w:t>
      </w:r>
    </w:p>
    <w:p w14:paraId="6FB06857" w14:textId="77777777" w:rsidR="00320BD7" w:rsidRDefault="00320BD7" w:rsidP="00320BD7">
      <w:pPr>
        <w:pStyle w:val="Heading4"/>
      </w:pPr>
      <w:commentRangeStart w:id="7"/>
      <w:r>
        <w:t>Data &amp; Measurement</w:t>
      </w:r>
      <w:commentRangeEnd w:id="7"/>
      <w:r>
        <w:rPr>
          <w:rStyle w:val="CommentReference"/>
        </w:rPr>
        <w:commentReference w:id="7"/>
      </w:r>
    </w:p>
    <w:p w14:paraId="5A2C4719" w14:textId="3F80D2B2" w:rsidR="00320BD7" w:rsidRDefault="00320BD7" w:rsidP="00320BD7">
      <w:pPr>
        <w:pStyle w:val="ListParagraph"/>
        <w:numPr>
          <w:ilvl w:val="0"/>
          <w:numId w:val="8"/>
        </w:numPr>
      </w:pPr>
      <w:r w:rsidRPr="00C60E68">
        <w:rPr>
          <w:b/>
          <w:bCs/>
        </w:rPr>
        <w:t>Develop the capability to measure and track a set of performance measures</w:t>
      </w:r>
      <w:r>
        <w:t xml:space="preserve"> for behavioral health for youth. </w:t>
      </w:r>
    </w:p>
    <w:p w14:paraId="64664A02" w14:textId="77777777" w:rsidR="00A263BC" w:rsidRPr="005B394F" w:rsidRDefault="00A263BC" w:rsidP="00A263BC">
      <w:pPr>
        <w:pStyle w:val="Heading4"/>
        <w:rPr>
          <w:color w:val="auto"/>
        </w:rPr>
      </w:pPr>
      <w:r>
        <w:t>Financial</w:t>
      </w:r>
    </w:p>
    <w:p w14:paraId="45E001F8" w14:textId="77777777" w:rsidR="009D156D" w:rsidRDefault="009D156D" w:rsidP="00320BD7">
      <w:pPr>
        <w:pStyle w:val="ListParagraph"/>
        <w:numPr>
          <w:ilvl w:val="0"/>
          <w:numId w:val="8"/>
        </w:numPr>
      </w:pPr>
      <w:r>
        <w:rPr>
          <w:b/>
          <w:bCs/>
        </w:rPr>
        <w:t>Expand</w:t>
      </w:r>
      <w:r w:rsidRPr="00E902F9">
        <w:rPr>
          <w:b/>
          <w:bCs/>
        </w:rPr>
        <w:t xml:space="preserve"> types</w:t>
      </w:r>
      <w:r>
        <w:t xml:space="preserve"> </w:t>
      </w:r>
      <w:r w:rsidRPr="00E902F9">
        <w:rPr>
          <w:b/>
          <w:bCs/>
        </w:rPr>
        <w:t>of healthcare professionals</w:t>
      </w:r>
      <w:r w:rsidRPr="2D3F2632">
        <w:rPr>
          <w:b/>
          <w:bCs/>
        </w:rPr>
        <w:t xml:space="preserve"> </w:t>
      </w:r>
      <w:r>
        <w:t>(e.g., CHWs) that can bill for screening for BH</w:t>
      </w:r>
    </w:p>
    <w:p w14:paraId="4332118F" w14:textId="77777777" w:rsidR="00A263BC" w:rsidRPr="00124284" w:rsidRDefault="00A263BC" w:rsidP="00320BD7">
      <w:pPr>
        <w:pStyle w:val="ListParagraph"/>
        <w:numPr>
          <w:ilvl w:val="0"/>
          <w:numId w:val="8"/>
        </w:numPr>
        <w:rPr>
          <w:color w:val="FF0000"/>
        </w:rPr>
      </w:pPr>
      <w:r w:rsidRPr="005B394F">
        <w:rPr>
          <w:b/>
          <w:bCs/>
        </w:rPr>
        <w:t>Consider alternative population-based payment models</w:t>
      </w:r>
      <w:r w:rsidRPr="005B394F">
        <w:t xml:space="preserve"> linked to quality metrics that support integration of behavioral health into pediatric primary care and prioritize tracking youth screening for behavioral </w:t>
      </w:r>
      <w:r>
        <w:t xml:space="preserve">health, follow-up and outcomes (e.g., </w:t>
      </w:r>
      <w:hyperlink r:id="rId12" w:anchor=":~:text=The%20Depression%20Remission%20or%20Response%20for%20Adolescents%20and,to%208%20months%20of%20the%20elevated%20PHQ-9%20score.">
        <w:r w:rsidRPr="2D3F2632">
          <w:rPr>
            <w:rStyle w:val="Hyperlink"/>
          </w:rPr>
          <w:t>HEDIS DRE</w:t>
        </w:r>
      </w:hyperlink>
      <w:r>
        <w:t>).</w:t>
      </w:r>
      <w:r w:rsidRPr="2D3F2632">
        <w:rPr>
          <w:b/>
          <w:bCs/>
        </w:rPr>
        <w:t xml:space="preserve"> </w:t>
      </w:r>
    </w:p>
    <w:p w14:paraId="72D864D3" w14:textId="77777777" w:rsidR="00A263BC" w:rsidRDefault="00A263BC" w:rsidP="00320BD7">
      <w:pPr>
        <w:pStyle w:val="ListParagraph"/>
        <w:numPr>
          <w:ilvl w:val="0"/>
          <w:numId w:val="8"/>
        </w:numPr>
        <w:rPr>
          <w:color w:val="FF0000"/>
        </w:rPr>
      </w:pPr>
      <w:r w:rsidRPr="00EB7237">
        <w:rPr>
          <w:b/>
          <w:bCs/>
        </w:rPr>
        <w:t xml:space="preserve">Consider ways to incentivize delivery of services and use of </w:t>
      </w:r>
      <w:r w:rsidRPr="00EB7237">
        <w:t xml:space="preserve"> </w:t>
      </w:r>
      <w:hyperlink r:id="rId13" w:anchor=":~:text=Current%20Procedural%20Terminology%20%28CPT%29%20code%2099484%3A%20care%20management,other%20qualified%20health%20care%20professional%2C%20per%20calendar%20month" w:history="1">
        <w:r w:rsidRPr="00633F6B">
          <w:rPr>
            <w:rStyle w:val="Hyperlink"/>
          </w:rPr>
          <w:t>CPT codes</w:t>
        </w:r>
      </w:hyperlink>
      <w:r>
        <w:t xml:space="preserve"> </w:t>
      </w:r>
      <w:r w:rsidRPr="0009642B">
        <w:t xml:space="preserve">related to behavioral health in primary care (e.g, CPT 99484, CoCM codes CPT 99492, 99493, 99494, HCPCS G2214) </w:t>
      </w:r>
    </w:p>
    <w:p w14:paraId="242146D7" w14:textId="77777777" w:rsidR="00A263BC" w:rsidRDefault="00A263BC" w:rsidP="00320BD7">
      <w:pPr>
        <w:pStyle w:val="ListParagraph"/>
        <w:numPr>
          <w:ilvl w:val="0"/>
          <w:numId w:val="8"/>
        </w:numPr>
      </w:pPr>
      <w:r>
        <w:rPr>
          <w:b/>
          <w:bCs/>
        </w:rPr>
        <w:t xml:space="preserve">Consider alternative payment models </w:t>
      </w:r>
      <w:r w:rsidRPr="005C5BB6">
        <w:t xml:space="preserve">for school-based health center-based providers to account for lower visit counts. </w:t>
      </w:r>
    </w:p>
    <w:p w14:paraId="0926CB58" w14:textId="77777777" w:rsidR="00EA64D4" w:rsidRDefault="00EA64D4" w:rsidP="00EA64D4">
      <w:pPr>
        <w:pStyle w:val="Heading4"/>
      </w:pPr>
      <w:r>
        <w:t>Co-management</w:t>
      </w:r>
    </w:p>
    <w:p w14:paraId="7AD8986C" w14:textId="77777777" w:rsidR="00EA64D4" w:rsidRPr="0009642B" w:rsidRDefault="00EA64D4" w:rsidP="00EA64D4">
      <w:pPr>
        <w:pStyle w:val="ListParagraph"/>
        <w:numPr>
          <w:ilvl w:val="0"/>
          <w:numId w:val="6"/>
        </w:numPr>
      </w:pPr>
      <w:commentRangeStart w:id="8"/>
      <w:r w:rsidRPr="0009642B">
        <w:t>Incentivize integration of behavioral health in pediatric primary care.</w:t>
      </w:r>
      <w:commentRangeEnd w:id="8"/>
      <w:r>
        <w:rPr>
          <w:rStyle w:val="CommentReference"/>
        </w:rPr>
        <w:commentReference w:id="8"/>
      </w:r>
    </w:p>
    <w:p w14:paraId="55685141" w14:textId="77777777" w:rsidR="00EA64D4" w:rsidRPr="00EA64D4" w:rsidRDefault="00EA64D4" w:rsidP="00EA64D4">
      <w:pPr>
        <w:rPr>
          <w:b/>
          <w:bCs/>
        </w:rPr>
      </w:pPr>
    </w:p>
    <w:p w14:paraId="175A5592" w14:textId="596CF1AF" w:rsidR="004457A4" w:rsidRDefault="004457A4">
      <w:r>
        <w:br w:type="page"/>
      </w:r>
    </w:p>
    <w:p w14:paraId="6366130A" w14:textId="3A91177F" w:rsidR="009B596E" w:rsidRPr="00956514" w:rsidRDefault="00956514" w:rsidP="009B596E">
      <w:pPr>
        <w:rPr>
          <w:b/>
          <w:bCs/>
        </w:rPr>
      </w:pPr>
      <w:r w:rsidRPr="00956514">
        <w:rPr>
          <w:b/>
          <w:bCs/>
        </w:rPr>
        <w:lastRenderedPageBreak/>
        <w:t>Full list of guidelines</w:t>
      </w:r>
    </w:p>
    <w:p w14:paraId="2209C764" w14:textId="77777777" w:rsidR="000D2DC5" w:rsidRPr="005B394F" w:rsidRDefault="000D2DC5" w:rsidP="000D2DC5">
      <w:pPr>
        <w:pStyle w:val="Heading4"/>
        <w:rPr>
          <w:color w:val="auto"/>
        </w:rPr>
      </w:pPr>
      <w:r>
        <w:t>Financial</w:t>
      </w:r>
    </w:p>
    <w:p w14:paraId="6C32F974" w14:textId="77777777" w:rsidR="000D2DC5" w:rsidRPr="00124284" w:rsidRDefault="000D2DC5" w:rsidP="00320BD7">
      <w:pPr>
        <w:pStyle w:val="ListParagraph"/>
        <w:numPr>
          <w:ilvl w:val="0"/>
          <w:numId w:val="8"/>
        </w:numPr>
        <w:rPr>
          <w:color w:val="FF0000"/>
        </w:rPr>
      </w:pPr>
      <w:r w:rsidRPr="005B394F">
        <w:rPr>
          <w:b/>
          <w:bCs/>
        </w:rPr>
        <w:t>Consider alternative population-based payment models</w:t>
      </w:r>
      <w:r w:rsidRPr="005B394F">
        <w:t xml:space="preserve"> linked to quality metrics that support integration of behavioral health into pediatric primary care and prioritize tracking youth screening for behavioral </w:t>
      </w:r>
      <w:r>
        <w:t xml:space="preserve">health, follow-up and outcomes (e.g., </w:t>
      </w:r>
      <w:hyperlink r:id="rId14" w:anchor=":~:text=The%20Depression%20Remission%20or%20Response%20for%20Adolescents%20and,to%208%20months%20of%20the%20elevated%20PHQ-9%20score.">
        <w:r w:rsidRPr="2D3F2632">
          <w:rPr>
            <w:rStyle w:val="Hyperlink"/>
          </w:rPr>
          <w:t>HEDIS DRE</w:t>
        </w:r>
      </w:hyperlink>
      <w:r>
        <w:t>).</w:t>
      </w:r>
      <w:r w:rsidRPr="2D3F2632">
        <w:rPr>
          <w:b/>
          <w:bCs/>
        </w:rPr>
        <w:t xml:space="preserve"> </w:t>
      </w:r>
    </w:p>
    <w:p w14:paraId="7A98C4D5" w14:textId="77777777" w:rsidR="000D2DC5" w:rsidRDefault="000D2DC5" w:rsidP="00320BD7">
      <w:pPr>
        <w:pStyle w:val="ListParagraph"/>
        <w:numPr>
          <w:ilvl w:val="0"/>
          <w:numId w:val="8"/>
        </w:numPr>
        <w:rPr>
          <w:color w:val="FF0000"/>
        </w:rPr>
      </w:pPr>
      <w:r w:rsidRPr="00EB7237">
        <w:rPr>
          <w:b/>
          <w:bCs/>
        </w:rPr>
        <w:t xml:space="preserve">Consider ways to incentivize delivery of services and use of </w:t>
      </w:r>
      <w:r w:rsidRPr="00EB7237">
        <w:t xml:space="preserve"> </w:t>
      </w:r>
      <w:hyperlink r:id="rId15" w:anchor=":~:text=Current%20Procedural%20Terminology%20%28CPT%29%20code%2099484%3A%20care%20management,other%20qualified%20health%20care%20professional%2C%20per%20calendar%20month" w:history="1">
        <w:r w:rsidRPr="00633F6B">
          <w:rPr>
            <w:rStyle w:val="Hyperlink"/>
          </w:rPr>
          <w:t>CPT codes</w:t>
        </w:r>
      </w:hyperlink>
      <w:r>
        <w:t xml:space="preserve"> </w:t>
      </w:r>
      <w:r w:rsidRPr="0009642B">
        <w:t xml:space="preserve">related to behavioral health in primary care (e.g, CPT 99484, CoCM codes CPT 99492, 99493, 99494, HCPCS G2214) </w:t>
      </w:r>
    </w:p>
    <w:p w14:paraId="51C41C95" w14:textId="77777777" w:rsidR="000D2DC5" w:rsidRDefault="000D2DC5" w:rsidP="00320BD7">
      <w:pPr>
        <w:pStyle w:val="ListParagraph"/>
        <w:numPr>
          <w:ilvl w:val="0"/>
          <w:numId w:val="8"/>
        </w:numPr>
      </w:pPr>
      <w:r w:rsidRPr="00E902F9">
        <w:rPr>
          <w:b/>
          <w:bCs/>
        </w:rPr>
        <w:t>Include a value-added benefit</w:t>
      </w:r>
      <w:r>
        <w:t xml:space="preserve"> for annual well-child visits including with BH screening</w:t>
      </w:r>
    </w:p>
    <w:p w14:paraId="6B896E0C" w14:textId="77777777" w:rsidR="000D2DC5" w:rsidRDefault="000D2DC5" w:rsidP="00320BD7">
      <w:pPr>
        <w:pStyle w:val="ListParagraph"/>
        <w:numPr>
          <w:ilvl w:val="0"/>
          <w:numId w:val="8"/>
        </w:numPr>
      </w:pPr>
      <w:r>
        <w:rPr>
          <w:b/>
          <w:bCs/>
        </w:rPr>
        <w:t xml:space="preserve">Consider alternative payment models </w:t>
      </w:r>
      <w:r w:rsidRPr="005C5BB6">
        <w:t xml:space="preserve">for school-based health center-based providers to account for lower visit counts. </w:t>
      </w:r>
    </w:p>
    <w:p w14:paraId="124FAE1C" w14:textId="77777777" w:rsidR="000D2DC5" w:rsidRDefault="000D2DC5" w:rsidP="00320BD7">
      <w:pPr>
        <w:pStyle w:val="ListParagraph"/>
        <w:numPr>
          <w:ilvl w:val="0"/>
          <w:numId w:val="8"/>
        </w:numPr>
      </w:pPr>
      <w:r>
        <w:rPr>
          <w:b/>
          <w:bCs/>
        </w:rPr>
        <w:t>Expand</w:t>
      </w:r>
      <w:r w:rsidRPr="00E902F9">
        <w:rPr>
          <w:b/>
          <w:bCs/>
        </w:rPr>
        <w:t xml:space="preserve"> types</w:t>
      </w:r>
      <w:r>
        <w:t xml:space="preserve"> </w:t>
      </w:r>
      <w:r w:rsidRPr="00E902F9">
        <w:rPr>
          <w:b/>
          <w:bCs/>
        </w:rPr>
        <w:t>of healthcare professionals</w:t>
      </w:r>
      <w:r w:rsidRPr="2D3F2632">
        <w:rPr>
          <w:b/>
          <w:bCs/>
        </w:rPr>
        <w:t xml:space="preserve"> </w:t>
      </w:r>
      <w:r>
        <w:t>(e.g., CHWs) that can bill for screening for BH</w:t>
      </w:r>
    </w:p>
    <w:p w14:paraId="15D72371" w14:textId="77777777" w:rsidR="000D2DC5" w:rsidRPr="008D5BEE" w:rsidRDefault="000D2DC5" w:rsidP="00320BD7">
      <w:pPr>
        <w:pStyle w:val="ListParagraph"/>
        <w:numPr>
          <w:ilvl w:val="0"/>
          <w:numId w:val="8"/>
        </w:numPr>
        <w:rPr>
          <w:b/>
          <w:bCs/>
        </w:rPr>
      </w:pPr>
      <w:r w:rsidRPr="00E902F9">
        <w:rPr>
          <w:b/>
          <w:bCs/>
        </w:rPr>
        <w:t>Partner with accountable communities of health</w:t>
      </w:r>
      <w:r>
        <w:t xml:space="preserve"> (ACHs) to for social need referrals and to track closed loop referrals.</w:t>
      </w:r>
    </w:p>
    <w:p w14:paraId="79777386" w14:textId="77777777" w:rsidR="000D2DC5" w:rsidRDefault="000D2DC5" w:rsidP="000D2DC5">
      <w:pPr>
        <w:pStyle w:val="Heading4"/>
      </w:pPr>
      <w:r w:rsidRPr="008F53FE">
        <w:rPr>
          <w:rStyle w:val="Emphasis"/>
        </w:rPr>
        <w:t>Education</w:t>
      </w:r>
      <w:r>
        <w:rPr>
          <w:rStyle w:val="Emphasis"/>
        </w:rPr>
        <w:t>/Capacity Building</w:t>
      </w:r>
    </w:p>
    <w:p w14:paraId="7697D4D6" w14:textId="77777777" w:rsidR="000D2DC5" w:rsidRPr="00051CC5" w:rsidRDefault="000D2DC5" w:rsidP="00320BD7">
      <w:pPr>
        <w:pStyle w:val="ListParagraph"/>
        <w:numPr>
          <w:ilvl w:val="0"/>
          <w:numId w:val="8"/>
        </w:numPr>
      </w:pPr>
      <w:r w:rsidRPr="00B972F0">
        <w:rPr>
          <w:b/>
          <w:bCs/>
        </w:rPr>
        <w:t xml:space="preserve">Educate members in </w:t>
      </w:r>
      <w:r>
        <w:rPr>
          <w:b/>
          <w:bCs/>
        </w:rPr>
        <w:t>separate pamphlet</w:t>
      </w:r>
      <w:r w:rsidRPr="00B972F0">
        <w:rPr>
          <w:b/>
          <w:bCs/>
        </w:rPr>
        <w:t xml:space="preserve"> on available behavioral health services</w:t>
      </w:r>
      <w:r>
        <w:t xml:space="preserve"> available </w:t>
      </w:r>
      <w:r w:rsidRPr="00051CC5">
        <w:t>at enrollment and annually</w:t>
      </w:r>
    </w:p>
    <w:p w14:paraId="39CD0B01" w14:textId="77777777" w:rsidR="000D2DC5" w:rsidRPr="006862D1" w:rsidRDefault="000D2DC5" w:rsidP="00320BD7">
      <w:pPr>
        <w:pStyle w:val="ListParagraph"/>
        <w:numPr>
          <w:ilvl w:val="0"/>
          <w:numId w:val="8"/>
        </w:numPr>
        <w:rPr>
          <w:b/>
          <w:bCs/>
        </w:rPr>
      </w:pPr>
      <w:r w:rsidRPr="00424437">
        <w:rPr>
          <w:b/>
          <w:bCs/>
        </w:rPr>
        <w:t>Inform in-network clinicians/clinics and members</w:t>
      </w:r>
      <w:r>
        <w:t>:</w:t>
      </w:r>
    </w:p>
    <w:p w14:paraId="0A2C098C" w14:textId="77777777" w:rsidR="000D2DC5" w:rsidRPr="006862D1" w:rsidRDefault="000D2DC5" w:rsidP="00320BD7">
      <w:pPr>
        <w:pStyle w:val="ListParagraph"/>
        <w:numPr>
          <w:ilvl w:val="1"/>
          <w:numId w:val="8"/>
        </w:numPr>
        <w:rPr>
          <w:b/>
          <w:bCs/>
        </w:rPr>
      </w:pPr>
      <w:r>
        <w:t xml:space="preserve">Lack of </w:t>
      </w:r>
      <w:r w:rsidRPr="00051CC5">
        <w:t xml:space="preserve">that there is no </w:t>
      </w:r>
      <w:commentRangeStart w:id="9"/>
      <w:commentRangeStart w:id="10"/>
      <w:r w:rsidRPr="00051CC5">
        <w:t xml:space="preserve">increase in cost-sharing </w:t>
      </w:r>
      <w:commentRangeEnd w:id="9"/>
      <w:r w:rsidRPr="00051CC5">
        <w:rPr>
          <w:rStyle w:val="CommentReference"/>
        </w:rPr>
        <w:commentReference w:id="9"/>
      </w:r>
      <w:commentRangeEnd w:id="10"/>
      <w:r w:rsidRPr="00051CC5">
        <w:rPr>
          <w:rStyle w:val="CommentReference"/>
        </w:rPr>
        <w:commentReference w:id="10"/>
      </w:r>
      <w:r w:rsidRPr="00051CC5">
        <w:t>for beh</w:t>
      </w:r>
      <w:r>
        <w:t xml:space="preserve">avioral health screening in primary care </w:t>
      </w:r>
    </w:p>
    <w:p w14:paraId="5676EDB7" w14:textId="77777777" w:rsidR="000D2DC5" w:rsidRDefault="000D2DC5" w:rsidP="00320BD7">
      <w:pPr>
        <w:pStyle w:val="ListParagraph"/>
        <w:numPr>
          <w:ilvl w:val="1"/>
          <w:numId w:val="8"/>
        </w:numPr>
        <w:rPr>
          <w:b/>
          <w:bCs/>
        </w:rPr>
      </w:pPr>
      <w:r>
        <w:t>privacy protocols for billing statements</w:t>
      </w:r>
    </w:p>
    <w:p w14:paraId="2B8A659D" w14:textId="77777777" w:rsidR="000D2DC5" w:rsidRDefault="000D2DC5" w:rsidP="00320BD7">
      <w:pPr>
        <w:pStyle w:val="ListParagraph"/>
        <w:numPr>
          <w:ilvl w:val="0"/>
          <w:numId w:val="8"/>
        </w:numPr>
      </w:pPr>
      <w:r w:rsidRPr="006862D1">
        <w:rPr>
          <w:b/>
          <w:bCs/>
        </w:rPr>
        <w:t>Train staff on HIPAA regulations</w:t>
      </w:r>
      <w:r>
        <w:t xml:space="preserve"> and any additional state-specific privacy laws pertaining to healthcare records for individuals under 18. </w:t>
      </w:r>
    </w:p>
    <w:p w14:paraId="77691398" w14:textId="77777777" w:rsidR="000D2DC5" w:rsidRDefault="000D2DC5" w:rsidP="00320BD7">
      <w:pPr>
        <w:pStyle w:val="ListParagraph"/>
        <w:numPr>
          <w:ilvl w:val="0"/>
          <w:numId w:val="8"/>
        </w:numPr>
      </w:pPr>
      <w:r w:rsidRPr="00424437">
        <w:rPr>
          <w:b/>
          <w:bCs/>
        </w:rPr>
        <w:t xml:space="preserve">Train member-facing staff </w:t>
      </w:r>
      <w:r>
        <w:t xml:space="preserve">annually on the following: </w:t>
      </w:r>
    </w:p>
    <w:p w14:paraId="1521AD13" w14:textId="77777777" w:rsidR="000D2DC5" w:rsidRDefault="000D2DC5" w:rsidP="00320BD7">
      <w:pPr>
        <w:pStyle w:val="ListParagraph"/>
        <w:numPr>
          <w:ilvl w:val="1"/>
          <w:numId w:val="8"/>
        </w:numPr>
      </w:pPr>
      <w:r>
        <w:t>Stigma and bias towards people with behavioral health concerns</w:t>
      </w:r>
    </w:p>
    <w:p w14:paraId="47F9794F" w14:textId="77777777" w:rsidR="000D2DC5" w:rsidRPr="00174AF7" w:rsidRDefault="000D2DC5" w:rsidP="00320BD7">
      <w:pPr>
        <w:pStyle w:val="ListParagraph"/>
        <w:numPr>
          <w:ilvl w:val="1"/>
          <w:numId w:val="8"/>
        </w:numPr>
      </w:pPr>
      <w:r>
        <w:t>Special considerations for communities at risk for behavioral health concerns</w:t>
      </w:r>
    </w:p>
    <w:p w14:paraId="48AFA982" w14:textId="77777777" w:rsidR="000D2DC5" w:rsidRPr="00174AF7" w:rsidRDefault="000D2DC5" w:rsidP="00320BD7">
      <w:pPr>
        <w:pStyle w:val="ListParagraph"/>
        <w:numPr>
          <w:ilvl w:val="0"/>
          <w:numId w:val="8"/>
        </w:numPr>
      </w:pPr>
      <w:r w:rsidRPr="00424437">
        <w:rPr>
          <w:b/>
          <w:bCs/>
        </w:rPr>
        <w:t>Ensure disclosure of benefit statements</w:t>
      </w:r>
      <w:r>
        <w:t xml:space="preserve"> are compliant with state-specific privacy laws referenced above. </w:t>
      </w:r>
    </w:p>
    <w:p w14:paraId="1606C9F4" w14:textId="77777777" w:rsidR="000D2DC5" w:rsidRDefault="000D2DC5" w:rsidP="00320BD7">
      <w:pPr>
        <w:pStyle w:val="ListParagraph"/>
        <w:numPr>
          <w:ilvl w:val="0"/>
          <w:numId w:val="8"/>
        </w:numPr>
      </w:pPr>
      <w:r w:rsidRPr="00424437">
        <w:rPr>
          <w:b/>
          <w:bCs/>
        </w:rPr>
        <w:t>Explore ways for school-based health center providers</w:t>
      </w:r>
      <w:r>
        <w:t xml:space="preserve"> can bill for services without being assigned to specific dependents or members </w:t>
      </w:r>
    </w:p>
    <w:p w14:paraId="1D7E546F" w14:textId="77777777" w:rsidR="000D2DC5" w:rsidRDefault="000D2DC5" w:rsidP="000D2DC5">
      <w:pPr>
        <w:pStyle w:val="Heading4"/>
      </w:pPr>
      <w:r>
        <w:t>Co-management</w:t>
      </w:r>
    </w:p>
    <w:p w14:paraId="1279E20C" w14:textId="77777777" w:rsidR="000D2DC5" w:rsidRDefault="000D2DC5" w:rsidP="00320BD7">
      <w:pPr>
        <w:pStyle w:val="ListParagraph"/>
        <w:numPr>
          <w:ilvl w:val="0"/>
          <w:numId w:val="8"/>
        </w:numPr>
      </w:pPr>
      <w:r>
        <w:t xml:space="preserve">Evaluate and expand provider networks when able to form robust network of primary care and behavioral health professionals both in person and through telehealth.  </w:t>
      </w:r>
    </w:p>
    <w:p w14:paraId="68E190EB" w14:textId="77777777" w:rsidR="000D2DC5" w:rsidRPr="0009642B" w:rsidRDefault="000D2DC5" w:rsidP="00320BD7">
      <w:pPr>
        <w:pStyle w:val="ListParagraph"/>
        <w:numPr>
          <w:ilvl w:val="0"/>
          <w:numId w:val="8"/>
        </w:numPr>
      </w:pPr>
      <w:r w:rsidRPr="008523E2">
        <w:rPr>
          <w:b/>
          <w:bCs/>
        </w:rPr>
        <w:t>Encourage in-network providers</w:t>
      </w:r>
      <w:r w:rsidRPr="0009642B">
        <w:t xml:space="preserve"> to provide </w:t>
      </w:r>
      <w:r>
        <w:t>demographic, cultural, and linguistic information</w:t>
      </w:r>
      <w:r w:rsidRPr="0009642B">
        <w:t xml:space="preserve"> </w:t>
      </w:r>
      <w:r>
        <w:t>accessible by members</w:t>
      </w:r>
    </w:p>
    <w:p w14:paraId="308167CE" w14:textId="77777777" w:rsidR="000D2DC5" w:rsidRPr="0009642B" w:rsidRDefault="000D2DC5" w:rsidP="00320BD7">
      <w:pPr>
        <w:pStyle w:val="ListParagraph"/>
        <w:numPr>
          <w:ilvl w:val="0"/>
          <w:numId w:val="8"/>
        </w:numPr>
      </w:pPr>
      <w:r w:rsidRPr="0009642B">
        <w:t>Incentivize integration of behavioral health in pediatric primary care.</w:t>
      </w:r>
    </w:p>
    <w:p w14:paraId="6F781AE8" w14:textId="77777777" w:rsidR="000D2DC5" w:rsidRDefault="000D2DC5" w:rsidP="000D2DC5">
      <w:pPr>
        <w:pStyle w:val="Heading4"/>
      </w:pPr>
      <w:commentRangeStart w:id="11"/>
      <w:r>
        <w:t>Data &amp; Measurement</w:t>
      </w:r>
      <w:commentRangeEnd w:id="11"/>
      <w:r>
        <w:rPr>
          <w:rStyle w:val="CommentReference"/>
        </w:rPr>
        <w:commentReference w:id="11"/>
      </w:r>
    </w:p>
    <w:p w14:paraId="6DAD24A6" w14:textId="77777777" w:rsidR="000D2DC5" w:rsidRDefault="000D2DC5" w:rsidP="00320BD7">
      <w:pPr>
        <w:pStyle w:val="ListParagraph"/>
        <w:numPr>
          <w:ilvl w:val="0"/>
          <w:numId w:val="8"/>
        </w:numPr>
      </w:pPr>
      <w:r>
        <w:rPr>
          <w:b/>
          <w:bCs/>
        </w:rPr>
        <w:t>Utilize</w:t>
      </w:r>
      <w:r w:rsidRPr="00C60E68">
        <w:rPr>
          <w:b/>
          <w:bCs/>
        </w:rPr>
        <w:t xml:space="preserve"> </w:t>
      </w:r>
      <w:commentRangeStart w:id="12"/>
      <w:r w:rsidRPr="00C60E68">
        <w:rPr>
          <w:b/>
          <w:bCs/>
        </w:rPr>
        <w:t xml:space="preserve">privacy </w:t>
      </w:r>
      <w:commentRangeEnd w:id="12"/>
      <w:r w:rsidRPr="00C60E68">
        <w:rPr>
          <w:rStyle w:val="CommentReference"/>
          <w:b/>
          <w:bCs/>
        </w:rPr>
        <w:commentReference w:id="12"/>
      </w:r>
      <w:r w:rsidRPr="00C60E68">
        <w:rPr>
          <w:b/>
          <w:bCs/>
        </w:rPr>
        <w:t>protocols and secure systems</w:t>
      </w:r>
      <w:r>
        <w:t xml:space="preserve"> that restrict access to sensitive information based on state-specific privacy laws</w:t>
      </w:r>
    </w:p>
    <w:p w14:paraId="2663E393" w14:textId="77777777" w:rsidR="000D2DC5" w:rsidRDefault="000D2DC5" w:rsidP="00320BD7">
      <w:pPr>
        <w:pStyle w:val="ListParagraph"/>
        <w:numPr>
          <w:ilvl w:val="0"/>
          <w:numId w:val="8"/>
        </w:numPr>
      </w:pPr>
      <w:r w:rsidRPr="00C60E68">
        <w:rPr>
          <w:b/>
          <w:bCs/>
        </w:rPr>
        <w:t>Develop the capability to measure and track a set of performance measures</w:t>
      </w:r>
      <w:r>
        <w:t xml:space="preserve"> for behavioral health for youth. </w:t>
      </w:r>
    </w:p>
    <w:p w14:paraId="611E4E33" w14:textId="77777777" w:rsidR="000D2DC5" w:rsidRDefault="000D2DC5" w:rsidP="00320BD7">
      <w:pPr>
        <w:pStyle w:val="ListParagraph"/>
        <w:numPr>
          <w:ilvl w:val="0"/>
          <w:numId w:val="8"/>
        </w:numPr>
      </w:pPr>
      <w:r>
        <w:rPr>
          <w:b/>
          <w:bCs/>
        </w:rPr>
        <w:lastRenderedPageBreak/>
        <w:t>Stratify measures</w:t>
      </w:r>
      <w:r>
        <w:t xml:space="preserve"> by race, ethnicity, language, SOGI data, and disability as able to identify and intervene to address disparities. See the Bree Collaborative’s </w:t>
      </w:r>
      <w:r w:rsidRPr="2D3F2632">
        <w:rPr>
          <w:b/>
          <w:bCs/>
        </w:rPr>
        <w:t>Youth Behavioral Health</w:t>
      </w:r>
      <w:r>
        <w:t xml:space="preserve"> </w:t>
      </w:r>
      <w:r w:rsidRPr="2D3F2632">
        <w:rPr>
          <w:b/>
          <w:bCs/>
        </w:rPr>
        <w:t>Evaluation Report and Framework</w:t>
      </w:r>
      <w:r>
        <w:t xml:space="preserve">. </w:t>
      </w:r>
    </w:p>
    <w:p w14:paraId="1F17A58C" w14:textId="77777777" w:rsidR="00BB505A" w:rsidRDefault="00BB505A"/>
    <w:sectPr w:rsidR="00BB50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eth Bojkov" w:date="2024-10-29T11:20:00Z" w:initials="BB">
    <w:p w14:paraId="62AAE586" w14:textId="77777777" w:rsidR="000D2DC5" w:rsidRDefault="000D2DC5" w:rsidP="000D2DC5">
      <w:pPr>
        <w:pStyle w:val="CommentText"/>
      </w:pPr>
      <w:r>
        <w:rPr>
          <w:rStyle w:val="CommentReference"/>
        </w:rPr>
        <w:annotationRef/>
      </w:r>
      <w:r>
        <w:t>MCOs billing for SBHCs</w:t>
      </w:r>
    </w:p>
  </w:comment>
  <w:comment w:id="2" w:author="Beth Bojkov" w:date="2024-10-29T08:27:00Z" w:initials="BB">
    <w:p w14:paraId="70B1FC09" w14:textId="77777777" w:rsidR="00CE3BA6" w:rsidRDefault="00CE3BA6" w:rsidP="00CE3BA6">
      <w:pPr>
        <w:pStyle w:val="CommentText"/>
      </w:pPr>
      <w:r>
        <w:rPr>
          <w:rStyle w:val="CommentReference"/>
        </w:rPr>
        <w:annotationRef/>
      </w:r>
      <w:r>
        <w:t>Ask commercial</w:t>
      </w:r>
    </w:p>
  </w:comment>
  <w:comment w:id="3" w:author="Beth Bojkov" w:date="2024-10-29T08:46:00Z" w:initials="BB">
    <w:p w14:paraId="771EE5EB" w14:textId="77777777" w:rsidR="00CE3BA6" w:rsidRDefault="00CE3BA6" w:rsidP="00CE3BA6">
      <w:pPr>
        <w:pStyle w:val="CommentText"/>
      </w:pPr>
      <w:r>
        <w:rPr>
          <w:rStyle w:val="CommentReference"/>
        </w:rPr>
        <w:annotationRef/>
      </w:r>
      <w:r>
        <w:t xml:space="preserve">Not paid for in BH, considered to be included </w:t>
      </w:r>
    </w:p>
  </w:comment>
  <w:comment w:id="4" w:author="Beth Bojkov" w:date="2024-10-29T09:06:00Z" w:initials="BB">
    <w:p w14:paraId="7799353F" w14:textId="77777777" w:rsidR="00320BD7" w:rsidRDefault="00320BD7" w:rsidP="00320BD7">
      <w:pPr>
        <w:pStyle w:val="CommentText"/>
      </w:pPr>
      <w:r>
        <w:rPr>
          <w:rStyle w:val="CommentReference"/>
        </w:rPr>
        <w:annotationRef/>
      </w:r>
      <w:r>
        <w:t xml:space="preserve">Interoperable EHRs between primary care and BH </w:t>
      </w:r>
    </w:p>
  </w:comment>
  <w:comment w:id="5" w:author="Beth Bojkov" w:date="2024-10-29T04:22:00Z" w:initials="BB">
    <w:p w14:paraId="4B9CAF9E" w14:textId="77777777" w:rsidR="00320BD7" w:rsidRDefault="00320BD7" w:rsidP="00320BD7">
      <w:pPr>
        <w:pStyle w:val="CommentText"/>
      </w:pPr>
      <w:r>
        <w:rPr>
          <w:rStyle w:val="CommentReference"/>
        </w:rPr>
        <w:annotationRef/>
      </w:r>
      <w:r w:rsidRPr="09086D00">
        <w:t>Sending explanation of billing home causes providers to stop billing for services</w:t>
      </w:r>
    </w:p>
  </w:comment>
  <w:comment w:id="6" w:author="Beth Bojkov" w:date="2024-10-29T09:06:00Z" w:initials="BB">
    <w:p w14:paraId="48901D9E" w14:textId="77777777" w:rsidR="00B448E3" w:rsidRDefault="00B448E3" w:rsidP="00B448E3">
      <w:pPr>
        <w:pStyle w:val="CommentText"/>
      </w:pPr>
      <w:r>
        <w:rPr>
          <w:rStyle w:val="CommentReference"/>
        </w:rPr>
        <w:annotationRef/>
      </w:r>
      <w:r>
        <w:t xml:space="preserve">Interoperable EHRs between primary care and BH </w:t>
      </w:r>
    </w:p>
  </w:comment>
  <w:comment w:id="7" w:author="Beth Bojkov" w:date="2024-10-29T09:06:00Z" w:initials="BB">
    <w:p w14:paraId="5466A4CB" w14:textId="77777777" w:rsidR="00320BD7" w:rsidRDefault="00320BD7" w:rsidP="00320BD7">
      <w:pPr>
        <w:pStyle w:val="CommentText"/>
      </w:pPr>
      <w:r>
        <w:rPr>
          <w:rStyle w:val="CommentReference"/>
        </w:rPr>
        <w:annotationRef/>
      </w:r>
      <w:r>
        <w:t xml:space="preserve">Interoperable EHRs between primary care and BH </w:t>
      </w:r>
    </w:p>
  </w:comment>
  <w:comment w:id="8" w:author="Emily Nudelman" w:date="2024-11-22T14:50:00Z" w:initials="EN">
    <w:p w14:paraId="3C53F523" w14:textId="3C58A233" w:rsidR="00EA64D4" w:rsidRDefault="00EA64D4" w:rsidP="00EA64D4">
      <w:pPr>
        <w:pStyle w:val="CommentText"/>
      </w:pPr>
      <w:r>
        <w:rPr>
          <w:rStyle w:val="CommentReference"/>
        </w:rPr>
        <w:annotationRef/>
      </w:r>
      <w:r>
        <w:t>Level 2?</w:t>
      </w:r>
    </w:p>
  </w:comment>
  <w:comment w:id="9" w:author="Beth Bojkov" w:date="2024-10-29T08:27:00Z" w:initials="BB">
    <w:p w14:paraId="51342E34" w14:textId="43F2AF22" w:rsidR="000D2DC5" w:rsidRDefault="000D2DC5" w:rsidP="000D2DC5">
      <w:pPr>
        <w:pStyle w:val="CommentText"/>
      </w:pPr>
      <w:r>
        <w:rPr>
          <w:rStyle w:val="CommentReference"/>
        </w:rPr>
        <w:annotationRef/>
      </w:r>
      <w:r>
        <w:t>Ask commercial</w:t>
      </w:r>
    </w:p>
  </w:comment>
  <w:comment w:id="10" w:author="Beth Bojkov" w:date="2024-10-29T08:46:00Z" w:initials="BB">
    <w:p w14:paraId="59DD69A4" w14:textId="77777777" w:rsidR="000D2DC5" w:rsidRDefault="000D2DC5" w:rsidP="000D2DC5">
      <w:pPr>
        <w:pStyle w:val="CommentText"/>
      </w:pPr>
      <w:r>
        <w:rPr>
          <w:rStyle w:val="CommentReference"/>
        </w:rPr>
        <w:annotationRef/>
      </w:r>
      <w:r>
        <w:t xml:space="preserve">Not paid for in BH, considered to be included </w:t>
      </w:r>
    </w:p>
  </w:comment>
  <w:comment w:id="11" w:author="Beth Bojkov" w:date="2024-10-29T09:06:00Z" w:initials="BB">
    <w:p w14:paraId="1E2A8FDF" w14:textId="77777777" w:rsidR="000D2DC5" w:rsidRDefault="000D2DC5" w:rsidP="000D2DC5">
      <w:pPr>
        <w:pStyle w:val="CommentText"/>
      </w:pPr>
      <w:r>
        <w:rPr>
          <w:rStyle w:val="CommentReference"/>
        </w:rPr>
        <w:annotationRef/>
      </w:r>
      <w:r>
        <w:t xml:space="preserve">Interoperable EHRs between primary care and BH </w:t>
      </w:r>
    </w:p>
  </w:comment>
  <w:comment w:id="12" w:author="Beth Bojkov" w:date="2024-10-29T04:22:00Z" w:initials="BB">
    <w:p w14:paraId="61DE28F0" w14:textId="77777777" w:rsidR="000D2DC5" w:rsidRDefault="000D2DC5" w:rsidP="000D2DC5">
      <w:pPr>
        <w:pStyle w:val="CommentText"/>
      </w:pPr>
      <w:r>
        <w:rPr>
          <w:rStyle w:val="CommentReference"/>
        </w:rPr>
        <w:annotationRef/>
      </w:r>
      <w:r w:rsidRPr="09086D00">
        <w:t>Sending explanation of billing home causes providers to stop billing for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AAE586" w15:done="0"/>
  <w15:commentEx w15:paraId="70B1FC09" w15:done="0"/>
  <w15:commentEx w15:paraId="771EE5EB" w15:paraIdParent="70B1FC09" w15:done="0"/>
  <w15:commentEx w15:paraId="7799353F" w15:done="0"/>
  <w15:commentEx w15:paraId="4B9CAF9E" w15:done="0"/>
  <w15:commentEx w15:paraId="48901D9E" w15:done="0"/>
  <w15:commentEx w15:paraId="5466A4CB" w15:done="0"/>
  <w15:commentEx w15:paraId="3C53F523" w15:done="0"/>
  <w15:commentEx w15:paraId="51342E34" w15:done="0"/>
  <w15:commentEx w15:paraId="59DD69A4" w15:paraIdParent="51342E34" w15:done="0"/>
  <w15:commentEx w15:paraId="1E2A8FDF" w15:done="0"/>
  <w15:commentEx w15:paraId="61DE2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7E3DFB" w16cex:dateUtc="2024-10-29T18:20:00Z"/>
  <w16cex:commentExtensible w16cex:durableId="118F356D" w16cex:dateUtc="2024-10-29T15:27:00Z"/>
  <w16cex:commentExtensible w16cex:durableId="7502AFB8" w16cex:dateUtc="2024-10-29T15:46:00Z"/>
  <w16cex:commentExtensible w16cex:durableId="0D23CD21" w16cex:dateUtc="2024-10-29T16:06:00Z"/>
  <w16cex:commentExtensible w16cex:durableId="13695652" w16cex:dateUtc="2024-10-29T18:22:00Z"/>
  <w16cex:commentExtensible w16cex:durableId="1B1FC81F" w16cex:dateUtc="2024-10-29T16:06:00Z"/>
  <w16cex:commentExtensible w16cex:durableId="0DBBD115" w16cex:dateUtc="2024-10-29T16:06:00Z"/>
  <w16cex:commentExtensible w16cex:durableId="32FBF876" w16cex:dateUtc="2024-11-22T22:50:00Z"/>
  <w16cex:commentExtensible w16cex:durableId="1AFB5981" w16cex:dateUtc="2024-10-29T15:27:00Z"/>
  <w16cex:commentExtensible w16cex:durableId="633108AF" w16cex:dateUtc="2024-10-29T15:46:00Z"/>
  <w16cex:commentExtensible w16cex:durableId="00C0A8C7" w16cex:dateUtc="2024-10-29T16:06:00Z"/>
  <w16cex:commentExtensible w16cex:durableId="31761C5A" w16cex:dateUtc="2024-10-29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AAE586" w16cid:durableId="757E3DFB"/>
  <w16cid:commentId w16cid:paraId="70B1FC09" w16cid:durableId="118F356D"/>
  <w16cid:commentId w16cid:paraId="771EE5EB" w16cid:durableId="7502AFB8"/>
  <w16cid:commentId w16cid:paraId="7799353F" w16cid:durableId="0D23CD21"/>
  <w16cid:commentId w16cid:paraId="4B9CAF9E" w16cid:durableId="13695652"/>
  <w16cid:commentId w16cid:paraId="48901D9E" w16cid:durableId="1B1FC81F"/>
  <w16cid:commentId w16cid:paraId="5466A4CB" w16cid:durableId="0DBBD115"/>
  <w16cid:commentId w16cid:paraId="3C53F523" w16cid:durableId="32FBF876"/>
  <w16cid:commentId w16cid:paraId="51342E34" w16cid:durableId="1AFB5981"/>
  <w16cid:commentId w16cid:paraId="59DD69A4" w16cid:durableId="633108AF"/>
  <w16cid:commentId w16cid:paraId="1E2A8FDF" w16cid:durableId="00C0A8C7"/>
  <w16cid:commentId w16cid:paraId="61DE28F0" w16cid:durableId="31761C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13AFC"/>
    <w:multiLevelType w:val="hybridMultilevel"/>
    <w:tmpl w:val="31C81ED0"/>
    <w:lvl w:ilvl="0" w:tplc="5F42D9C2">
      <w:start w:val="1"/>
      <w:numFmt w:val="bullet"/>
      <w:lvlText w:val=""/>
      <w:lvlJc w:val="left"/>
      <w:pPr>
        <w:tabs>
          <w:tab w:val="num" w:pos="720"/>
        </w:tabs>
        <w:ind w:left="720" w:hanging="360"/>
      </w:pPr>
      <w:rPr>
        <w:rFonts w:ascii="Symbol" w:hAnsi="Symbol" w:hint="default"/>
      </w:rPr>
    </w:lvl>
    <w:lvl w:ilvl="1" w:tplc="999EC682">
      <w:numFmt w:val="bullet"/>
      <w:lvlText w:val="o"/>
      <w:lvlJc w:val="left"/>
      <w:pPr>
        <w:tabs>
          <w:tab w:val="num" w:pos="1440"/>
        </w:tabs>
        <w:ind w:left="1440" w:hanging="360"/>
      </w:pPr>
      <w:rPr>
        <w:rFonts w:ascii="Courier New" w:hAnsi="Courier New" w:hint="default"/>
      </w:rPr>
    </w:lvl>
    <w:lvl w:ilvl="2" w:tplc="E0FCD248" w:tentative="1">
      <w:start w:val="1"/>
      <w:numFmt w:val="bullet"/>
      <w:lvlText w:val=""/>
      <w:lvlJc w:val="left"/>
      <w:pPr>
        <w:tabs>
          <w:tab w:val="num" w:pos="2160"/>
        </w:tabs>
        <w:ind w:left="2160" w:hanging="360"/>
      </w:pPr>
      <w:rPr>
        <w:rFonts w:ascii="Symbol" w:hAnsi="Symbol" w:hint="default"/>
      </w:rPr>
    </w:lvl>
    <w:lvl w:ilvl="3" w:tplc="D13A5922" w:tentative="1">
      <w:start w:val="1"/>
      <w:numFmt w:val="bullet"/>
      <w:lvlText w:val=""/>
      <w:lvlJc w:val="left"/>
      <w:pPr>
        <w:tabs>
          <w:tab w:val="num" w:pos="2880"/>
        </w:tabs>
        <w:ind w:left="2880" w:hanging="360"/>
      </w:pPr>
      <w:rPr>
        <w:rFonts w:ascii="Symbol" w:hAnsi="Symbol" w:hint="default"/>
      </w:rPr>
    </w:lvl>
    <w:lvl w:ilvl="4" w:tplc="F60CCD0C" w:tentative="1">
      <w:start w:val="1"/>
      <w:numFmt w:val="bullet"/>
      <w:lvlText w:val=""/>
      <w:lvlJc w:val="left"/>
      <w:pPr>
        <w:tabs>
          <w:tab w:val="num" w:pos="3600"/>
        </w:tabs>
        <w:ind w:left="3600" w:hanging="360"/>
      </w:pPr>
      <w:rPr>
        <w:rFonts w:ascii="Symbol" w:hAnsi="Symbol" w:hint="default"/>
      </w:rPr>
    </w:lvl>
    <w:lvl w:ilvl="5" w:tplc="EA82307C" w:tentative="1">
      <w:start w:val="1"/>
      <w:numFmt w:val="bullet"/>
      <w:lvlText w:val=""/>
      <w:lvlJc w:val="left"/>
      <w:pPr>
        <w:tabs>
          <w:tab w:val="num" w:pos="4320"/>
        </w:tabs>
        <w:ind w:left="4320" w:hanging="360"/>
      </w:pPr>
      <w:rPr>
        <w:rFonts w:ascii="Symbol" w:hAnsi="Symbol" w:hint="default"/>
      </w:rPr>
    </w:lvl>
    <w:lvl w:ilvl="6" w:tplc="6180E8FE" w:tentative="1">
      <w:start w:val="1"/>
      <w:numFmt w:val="bullet"/>
      <w:lvlText w:val=""/>
      <w:lvlJc w:val="left"/>
      <w:pPr>
        <w:tabs>
          <w:tab w:val="num" w:pos="5040"/>
        </w:tabs>
        <w:ind w:left="5040" w:hanging="360"/>
      </w:pPr>
      <w:rPr>
        <w:rFonts w:ascii="Symbol" w:hAnsi="Symbol" w:hint="default"/>
      </w:rPr>
    </w:lvl>
    <w:lvl w:ilvl="7" w:tplc="08CCF08C" w:tentative="1">
      <w:start w:val="1"/>
      <w:numFmt w:val="bullet"/>
      <w:lvlText w:val=""/>
      <w:lvlJc w:val="left"/>
      <w:pPr>
        <w:tabs>
          <w:tab w:val="num" w:pos="5760"/>
        </w:tabs>
        <w:ind w:left="5760" w:hanging="360"/>
      </w:pPr>
      <w:rPr>
        <w:rFonts w:ascii="Symbol" w:hAnsi="Symbol" w:hint="default"/>
      </w:rPr>
    </w:lvl>
    <w:lvl w:ilvl="8" w:tplc="B2FCEC3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3C2B1E"/>
    <w:multiLevelType w:val="hybridMultilevel"/>
    <w:tmpl w:val="07DAB6A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FF14225"/>
    <w:multiLevelType w:val="hybridMultilevel"/>
    <w:tmpl w:val="07DAB6A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AD73C6D"/>
    <w:multiLevelType w:val="hybridMultilevel"/>
    <w:tmpl w:val="07DAB6A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E744DB9"/>
    <w:multiLevelType w:val="hybridMultilevel"/>
    <w:tmpl w:val="07DAB6A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62A365C"/>
    <w:multiLevelType w:val="hybridMultilevel"/>
    <w:tmpl w:val="07DAB6A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B24743A"/>
    <w:multiLevelType w:val="hybridMultilevel"/>
    <w:tmpl w:val="07DAB6A4"/>
    <w:lvl w:ilvl="0" w:tplc="3FD655AC">
      <w:start w:val="1"/>
      <w:numFmt w:val="decimal"/>
      <w:lvlText w:val="%1."/>
      <w:lvlJc w:val="left"/>
      <w:pPr>
        <w:ind w:left="720" w:hanging="360"/>
      </w:pPr>
      <w:rPr>
        <w:color w:val="auto"/>
      </w:rPr>
    </w:lvl>
    <w:lvl w:ilvl="1" w:tplc="87B21B52">
      <w:start w:val="1"/>
      <w:numFmt w:val="lowerLetter"/>
      <w:lvlText w:val="%2."/>
      <w:lvlJc w:val="left"/>
      <w:pPr>
        <w:ind w:left="1440" w:hanging="360"/>
      </w:pPr>
    </w:lvl>
    <w:lvl w:ilvl="2" w:tplc="78746BA2">
      <w:start w:val="1"/>
      <w:numFmt w:val="lowerRoman"/>
      <w:lvlText w:val="%3."/>
      <w:lvlJc w:val="right"/>
      <w:pPr>
        <w:ind w:left="2160" w:hanging="180"/>
      </w:pPr>
    </w:lvl>
    <w:lvl w:ilvl="3" w:tplc="80E8BEAA">
      <w:start w:val="1"/>
      <w:numFmt w:val="decimal"/>
      <w:lvlText w:val="%4."/>
      <w:lvlJc w:val="left"/>
      <w:pPr>
        <w:ind w:left="2880" w:hanging="360"/>
      </w:pPr>
    </w:lvl>
    <w:lvl w:ilvl="4" w:tplc="1EE0F48A">
      <w:start w:val="1"/>
      <w:numFmt w:val="lowerLetter"/>
      <w:lvlText w:val="%5."/>
      <w:lvlJc w:val="left"/>
      <w:pPr>
        <w:ind w:left="3600" w:hanging="360"/>
      </w:pPr>
    </w:lvl>
    <w:lvl w:ilvl="5" w:tplc="E326D4FC">
      <w:start w:val="1"/>
      <w:numFmt w:val="lowerRoman"/>
      <w:lvlText w:val="%6."/>
      <w:lvlJc w:val="right"/>
      <w:pPr>
        <w:ind w:left="4320" w:hanging="180"/>
      </w:pPr>
    </w:lvl>
    <w:lvl w:ilvl="6" w:tplc="615450C6">
      <w:start w:val="1"/>
      <w:numFmt w:val="decimal"/>
      <w:lvlText w:val="%7."/>
      <w:lvlJc w:val="left"/>
      <w:pPr>
        <w:ind w:left="5040" w:hanging="360"/>
      </w:pPr>
    </w:lvl>
    <w:lvl w:ilvl="7" w:tplc="2E7A4894">
      <w:start w:val="1"/>
      <w:numFmt w:val="lowerLetter"/>
      <w:lvlText w:val="%8."/>
      <w:lvlJc w:val="left"/>
      <w:pPr>
        <w:ind w:left="5760" w:hanging="360"/>
      </w:pPr>
    </w:lvl>
    <w:lvl w:ilvl="8" w:tplc="BC78F6A2">
      <w:start w:val="1"/>
      <w:numFmt w:val="lowerRoman"/>
      <w:lvlText w:val="%9."/>
      <w:lvlJc w:val="right"/>
      <w:pPr>
        <w:ind w:left="6480" w:hanging="180"/>
      </w:pPr>
    </w:lvl>
  </w:abstractNum>
  <w:abstractNum w:abstractNumId="7" w15:restartNumberingAfterBreak="0">
    <w:nsid w:val="71326E71"/>
    <w:multiLevelType w:val="hybridMultilevel"/>
    <w:tmpl w:val="07DAB6A4"/>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736426">
    <w:abstractNumId w:val="6"/>
  </w:num>
  <w:num w:numId="2" w16cid:durableId="592206264">
    <w:abstractNumId w:val="0"/>
  </w:num>
  <w:num w:numId="3" w16cid:durableId="600188674">
    <w:abstractNumId w:val="7"/>
  </w:num>
  <w:num w:numId="4" w16cid:durableId="1492942484">
    <w:abstractNumId w:val="1"/>
  </w:num>
  <w:num w:numId="5" w16cid:durableId="930890494">
    <w:abstractNumId w:val="5"/>
  </w:num>
  <w:num w:numId="6" w16cid:durableId="2072999682">
    <w:abstractNumId w:val="4"/>
  </w:num>
  <w:num w:numId="7" w16cid:durableId="1417828525">
    <w:abstractNumId w:val="2"/>
  </w:num>
  <w:num w:numId="8" w16cid:durableId="19147750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h Bojkov">
    <w15:presenceInfo w15:providerId="AD" w15:userId="S::ebojkov@qualityhealth.org::6ebdf489-8751-49a4-bcfc-8b396765f0a3"/>
  </w15:person>
  <w15:person w15:author="Emily Nudelman">
    <w15:presenceInfo w15:providerId="AD" w15:userId="S::ENudelman@qualityhealth.org::a50ea3ab-b22f-4dd8-966e-4d343f59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C5"/>
    <w:rsid w:val="000D2DC5"/>
    <w:rsid w:val="002A2561"/>
    <w:rsid w:val="00320BD7"/>
    <w:rsid w:val="0042079D"/>
    <w:rsid w:val="004457A4"/>
    <w:rsid w:val="0074075A"/>
    <w:rsid w:val="00821D1F"/>
    <w:rsid w:val="00884691"/>
    <w:rsid w:val="008B4DD1"/>
    <w:rsid w:val="008B5E26"/>
    <w:rsid w:val="00956514"/>
    <w:rsid w:val="009B596E"/>
    <w:rsid w:val="009D156D"/>
    <w:rsid w:val="00A146C9"/>
    <w:rsid w:val="00A263BC"/>
    <w:rsid w:val="00B448E3"/>
    <w:rsid w:val="00B736B3"/>
    <w:rsid w:val="00BA026B"/>
    <w:rsid w:val="00BB505A"/>
    <w:rsid w:val="00CE3BA6"/>
    <w:rsid w:val="00E1769D"/>
    <w:rsid w:val="00E8070C"/>
    <w:rsid w:val="00EA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801F"/>
  <w15:chartTrackingRefBased/>
  <w15:docId w15:val="{C3FD24D0-E647-4DC3-B872-9B8871CD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2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2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2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D2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DC5"/>
    <w:rPr>
      <w:rFonts w:eastAsiaTheme="majorEastAsia" w:cstheme="majorBidi"/>
      <w:color w:val="272727" w:themeColor="text1" w:themeTint="D8"/>
    </w:rPr>
  </w:style>
  <w:style w:type="paragraph" w:styleId="Title">
    <w:name w:val="Title"/>
    <w:basedOn w:val="Normal"/>
    <w:next w:val="Normal"/>
    <w:link w:val="TitleChar"/>
    <w:uiPriority w:val="10"/>
    <w:qFormat/>
    <w:rsid w:val="000D2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DC5"/>
    <w:pPr>
      <w:spacing w:before="160"/>
      <w:jc w:val="center"/>
    </w:pPr>
    <w:rPr>
      <w:i/>
      <w:iCs/>
      <w:color w:val="404040" w:themeColor="text1" w:themeTint="BF"/>
    </w:rPr>
  </w:style>
  <w:style w:type="character" w:customStyle="1" w:styleId="QuoteChar">
    <w:name w:val="Quote Char"/>
    <w:basedOn w:val="DefaultParagraphFont"/>
    <w:link w:val="Quote"/>
    <w:uiPriority w:val="29"/>
    <w:rsid w:val="000D2DC5"/>
    <w:rPr>
      <w:i/>
      <w:iCs/>
      <w:color w:val="404040" w:themeColor="text1" w:themeTint="BF"/>
    </w:rPr>
  </w:style>
  <w:style w:type="paragraph" w:styleId="ListParagraph">
    <w:name w:val="List Paragraph"/>
    <w:basedOn w:val="Normal"/>
    <w:uiPriority w:val="34"/>
    <w:qFormat/>
    <w:rsid w:val="000D2DC5"/>
    <w:pPr>
      <w:ind w:left="720"/>
      <w:contextualSpacing/>
    </w:pPr>
  </w:style>
  <w:style w:type="character" w:styleId="IntenseEmphasis">
    <w:name w:val="Intense Emphasis"/>
    <w:basedOn w:val="DefaultParagraphFont"/>
    <w:uiPriority w:val="21"/>
    <w:qFormat/>
    <w:rsid w:val="000D2DC5"/>
    <w:rPr>
      <w:i/>
      <w:iCs/>
      <w:color w:val="0F4761" w:themeColor="accent1" w:themeShade="BF"/>
    </w:rPr>
  </w:style>
  <w:style w:type="paragraph" w:styleId="IntenseQuote">
    <w:name w:val="Intense Quote"/>
    <w:basedOn w:val="Normal"/>
    <w:next w:val="Normal"/>
    <w:link w:val="IntenseQuoteChar"/>
    <w:uiPriority w:val="30"/>
    <w:qFormat/>
    <w:rsid w:val="000D2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DC5"/>
    <w:rPr>
      <w:i/>
      <w:iCs/>
      <w:color w:val="0F4761" w:themeColor="accent1" w:themeShade="BF"/>
    </w:rPr>
  </w:style>
  <w:style w:type="character" w:styleId="IntenseReference">
    <w:name w:val="Intense Reference"/>
    <w:basedOn w:val="DefaultParagraphFont"/>
    <w:uiPriority w:val="32"/>
    <w:qFormat/>
    <w:rsid w:val="000D2DC5"/>
    <w:rPr>
      <w:b/>
      <w:bCs/>
      <w:smallCaps/>
      <w:color w:val="0F4761" w:themeColor="accent1" w:themeShade="BF"/>
      <w:spacing w:val="5"/>
    </w:rPr>
  </w:style>
  <w:style w:type="character" w:styleId="CommentReference">
    <w:name w:val="annotation reference"/>
    <w:basedOn w:val="DefaultParagraphFont"/>
    <w:uiPriority w:val="99"/>
    <w:semiHidden/>
    <w:unhideWhenUsed/>
    <w:rsid w:val="000D2DC5"/>
    <w:rPr>
      <w:sz w:val="16"/>
      <w:szCs w:val="16"/>
    </w:rPr>
  </w:style>
  <w:style w:type="paragraph" w:styleId="CommentText">
    <w:name w:val="annotation text"/>
    <w:basedOn w:val="Normal"/>
    <w:link w:val="CommentTextChar"/>
    <w:uiPriority w:val="99"/>
    <w:unhideWhenUsed/>
    <w:rsid w:val="000D2DC5"/>
    <w:pPr>
      <w:spacing w:line="240" w:lineRule="auto"/>
    </w:pPr>
    <w:rPr>
      <w:sz w:val="20"/>
      <w:szCs w:val="20"/>
    </w:rPr>
  </w:style>
  <w:style w:type="character" w:customStyle="1" w:styleId="CommentTextChar">
    <w:name w:val="Comment Text Char"/>
    <w:basedOn w:val="DefaultParagraphFont"/>
    <w:link w:val="CommentText"/>
    <w:uiPriority w:val="99"/>
    <w:rsid w:val="000D2DC5"/>
    <w:rPr>
      <w:sz w:val="20"/>
      <w:szCs w:val="20"/>
    </w:rPr>
  </w:style>
  <w:style w:type="character" w:styleId="Hyperlink">
    <w:name w:val="Hyperlink"/>
    <w:basedOn w:val="DefaultParagraphFont"/>
    <w:uiPriority w:val="99"/>
    <w:unhideWhenUsed/>
    <w:rsid w:val="000D2DC5"/>
    <w:rPr>
      <w:color w:val="467886" w:themeColor="hyperlink"/>
      <w:u w:val="single"/>
    </w:rPr>
  </w:style>
  <w:style w:type="character" w:styleId="Emphasis">
    <w:name w:val="Emphasis"/>
    <w:basedOn w:val="DefaultParagraphFont"/>
    <w:uiPriority w:val="20"/>
    <w:qFormat/>
    <w:rsid w:val="000D2DC5"/>
    <w:rPr>
      <w:i/>
      <w:iCs/>
    </w:rPr>
  </w:style>
  <w:style w:type="paragraph" w:styleId="CommentSubject">
    <w:name w:val="annotation subject"/>
    <w:basedOn w:val="CommentText"/>
    <w:next w:val="CommentText"/>
    <w:link w:val="CommentSubjectChar"/>
    <w:uiPriority w:val="99"/>
    <w:semiHidden/>
    <w:unhideWhenUsed/>
    <w:rsid w:val="00EA64D4"/>
    <w:rPr>
      <w:b/>
      <w:bCs/>
    </w:rPr>
  </w:style>
  <w:style w:type="character" w:customStyle="1" w:styleId="CommentSubjectChar">
    <w:name w:val="Comment Subject Char"/>
    <w:basedOn w:val="CommentTextChar"/>
    <w:link w:val="CommentSubject"/>
    <w:uiPriority w:val="99"/>
    <w:semiHidden/>
    <w:rsid w:val="00EA6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afp.org/family-physician/practice-and-career/getting-paid/coding/behavioral-health-integration-coding.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hrq.gov/sites/default/files/wysiwyg/pqmp/measures/chronic/chipra-244-fullreport.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aafp.org/family-physician/practice-and-career/getting-paid/coding/behavioral-health-integration-coding.html"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ahrq.gov/sites/default/files/wysiwyg/pqmp/measures/chronic/chipra-244-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095E0-F28B-434A-8D1A-244AA13E7FB5}">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A1BEA98C-D8A5-4FF3-B1D5-FB8BB67EA443}">
  <ds:schemaRefs>
    <ds:schemaRef ds:uri="http://schemas.microsoft.com/sharepoint/v3/contenttype/forms"/>
  </ds:schemaRefs>
</ds:datastoreItem>
</file>

<file path=customXml/itemProps3.xml><?xml version="1.0" encoding="utf-8"?>
<ds:datastoreItem xmlns:ds="http://schemas.openxmlformats.org/officeDocument/2006/customXml" ds:itemID="{57FEA000-34A2-456C-AF7A-6505601CC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Emily Nudelman</cp:lastModifiedBy>
  <cp:revision>17</cp:revision>
  <dcterms:created xsi:type="dcterms:W3CDTF">2024-11-22T20:21:00Z</dcterms:created>
  <dcterms:modified xsi:type="dcterms:W3CDTF">2024-12-04T21:27:00Z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