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0E08" w14:textId="7B9DDA8F" w:rsidR="00D07992" w:rsidRDefault="007E5B36">
      <w:r>
        <w:t>BREE Anemia Refs</w:t>
      </w:r>
    </w:p>
    <w:p w14:paraId="3395C867" w14:textId="77777777" w:rsidR="00775B26" w:rsidRDefault="00775B26"/>
    <w:p w14:paraId="720BB5BC" w14:textId="22E28431" w:rsidR="00EC325A" w:rsidRPr="00775B26" w:rsidRDefault="00775B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Papers on Risk of Anemia</w:t>
      </w:r>
      <w:r w:rsidR="00AE4441">
        <w:rPr>
          <w:b/>
          <w:bCs/>
          <w:sz w:val="24"/>
          <w:szCs w:val="24"/>
        </w:rPr>
        <w:t xml:space="preserve"> </w:t>
      </w:r>
      <w:r w:rsidR="00AE4441" w:rsidRPr="00AE4441">
        <w:rPr>
          <w:sz w:val="24"/>
          <w:szCs w:val="24"/>
        </w:rPr>
        <w:t>(</w:t>
      </w:r>
      <w:r w:rsidR="00AE4441">
        <w:rPr>
          <w:sz w:val="24"/>
          <w:szCs w:val="24"/>
        </w:rPr>
        <w:t>Those with a red number</w:t>
      </w:r>
      <w:r w:rsidR="004C7234">
        <w:rPr>
          <w:sz w:val="24"/>
          <w:szCs w:val="24"/>
        </w:rPr>
        <w:t xml:space="preserve"> (</w:t>
      </w:r>
      <w:r w:rsidR="004C7234" w:rsidRPr="004C7234">
        <w:rPr>
          <w:color w:val="FF0000"/>
          <w:sz w:val="24"/>
          <w:szCs w:val="24"/>
        </w:rPr>
        <w:t>4</w:t>
      </w:r>
      <w:r w:rsidR="004C7234">
        <w:rPr>
          <w:sz w:val="24"/>
          <w:szCs w:val="24"/>
        </w:rPr>
        <w:t xml:space="preserve">, </w:t>
      </w:r>
      <w:r w:rsidR="004C7234" w:rsidRPr="004C7234">
        <w:rPr>
          <w:color w:val="FF0000"/>
          <w:sz w:val="24"/>
          <w:szCs w:val="24"/>
        </w:rPr>
        <w:t>5</w:t>
      </w:r>
      <w:r w:rsidR="004C7234">
        <w:rPr>
          <w:sz w:val="24"/>
          <w:szCs w:val="24"/>
        </w:rPr>
        <w:t xml:space="preserve">, &amp; </w:t>
      </w:r>
      <w:r w:rsidR="004C7234" w:rsidRPr="004C7234">
        <w:rPr>
          <w:color w:val="FF0000"/>
          <w:sz w:val="24"/>
          <w:szCs w:val="24"/>
        </w:rPr>
        <w:t>6</w:t>
      </w:r>
      <w:r w:rsidR="004C7234">
        <w:rPr>
          <w:sz w:val="24"/>
          <w:szCs w:val="24"/>
        </w:rPr>
        <w:t>)</w:t>
      </w:r>
      <w:r w:rsidR="00AE4441">
        <w:rPr>
          <w:sz w:val="24"/>
          <w:szCs w:val="24"/>
        </w:rPr>
        <w:t xml:space="preserve"> are in the </w:t>
      </w:r>
      <w:proofErr w:type="spellStart"/>
      <w:r w:rsidR="00AE4441">
        <w:rPr>
          <w:sz w:val="24"/>
          <w:szCs w:val="24"/>
        </w:rPr>
        <w:t>BreeOptimization+ERAS-final</w:t>
      </w:r>
      <w:proofErr w:type="spellEnd"/>
      <w:r w:rsidR="00C26A08">
        <w:rPr>
          <w:sz w:val="24"/>
          <w:szCs w:val="24"/>
        </w:rPr>
        <w:t>)</w:t>
      </w:r>
    </w:p>
    <w:p w14:paraId="7AEA0836" w14:textId="55A08627" w:rsidR="00AE4441" w:rsidRPr="00AE4441" w:rsidRDefault="00AE4441" w:rsidP="00AE4441">
      <w:r w:rsidRPr="00AE4441">
        <w:t>1.</w:t>
      </w:r>
      <w:r w:rsidRPr="00AE4441">
        <w:tab/>
        <w:t xml:space="preserve">Netz A, Hof L, Rumpf F, et al. Adjusting Current Hemoglobin Thresholds: A Way to Improve Outcome in Women Undergoing Major Surgery. J </w:t>
      </w:r>
      <w:proofErr w:type="spellStart"/>
      <w:r w:rsidRPr="00AE4441">
        <w:t>Womens</w:t>
      </w:r>
      <w:proofErr w:type="spellEnd"/>
      <w:r w:rsidRPr="00AE4441">
        <w:t xml:space="preserve"> Health (</w:t>
      </w:r>
      <w:proofErr w:type="spellStart"/>
      <w:r w:rsidRPr="00AE4441">
        <w:t>Larchmt</w:t>
      </w:r>
      <w:proofErr w:type="spellEnd"/>
      <w:r w:rsidRPr="00AE4441">
        <w:t>) 2024;33(5):678-684. DOI: 10.1089/jwh.2023.0665.</w:t>
      </w:r>
    </w:p>
    <w:p w14:paraId="50A08770" w14:textId="56B56BDF" w:rsidR="00216DE8" w:rsidRDefault="003044EF" w:rsidP="003044EF">
      <w:r w:rsidRPr="003044EF">
        <w:rPr>
          <w:b/>
          <w:bCs/>
        </w:rPr>
        <w:t>Material and Methods</w:t>
      </w:r>
      <w:r w:rsidRPr="003044EF">
        <w:t>: Single-center retrospective analysis of female patients undergoing major surgery.</w:t>
      </w:r>
      <w:r>
        <w:t xml:space="preserve">  </w:t>
      </w:r>
      <w:r>
        <w:br/>
      </w:r>
      <w:r w:rsidRPr="003044EF">
        <w:rPr>
          <w:b/>
          <w:bCs/>
        </w:rPr>
        <w:t>Results</w:t>
      </w:r>
      <w:r w:rsidRPr="003044EF">
        <w:t xml:space="preserve">: In total, 6,516 patients ‡18 years of age had major surgery between 2018 and </w:t>
      </w:r>
      <w:proofErr w:type="gramStart"/>
      <w:r w:rsidRPr="003044EF">
        <w:t>2019</w:t>
      </w:r>
      <w:proofErr w:type="gramEnd"/>
      <w:r w:rsidRPr="003044EF">
        <w:t xml:space="preserve"> and 2,446 female</w:t>
      </w:r>
      <w:r>
        <w:t xml:space="preserve"> </w:t>
      </w:r>
      <w:r w:rsidRPr="003044EF">
        <w:t>patients were included in analysis. Mean age was 67.4 – 16.6, 66.4 – 15.6, and 64.5 – 15.5 years in female</w:t>
      </w:r>
      <w:r>
        <w:t xml:space="preserve"> </w:t>
      </w:r>
      <w:r w:rsidRPr="003044EF">
        <w:t>patients with preoperative Hb levels &lt;12.0, 12.0–12.9 and ‡13.0 g/dL, respectively. The transfusion rate of red</w:t>
      </w:r>
      <w:r>
        <w:t xml:space="preserve"> </w:t>
      </w:r>
      <w:r w:rsidRPr="003044EF">
        <w:t>blood cells (RBCs) was significantly higher in female patients with Hb &lt;12.0 g/dL (53%) and with Hb 12.0–</w:t>
      </w:r>
      <w:r>
        <w:t xml:space="preserve"> </w:t>
      </w:r>
      <w:r w:rsidRPr="003044EF">
        <w:t>12.9 g/dL (31%) compared to female patients ‡13.0 g/dL (22%). Rates of pneumonia, acute kidney injury, and</w:t>
      </w:r>
      <w:r>
        <w:t xml:space="preserve"> </w:t>
      </w:r>
      <w:r w:rsidRPr="003044EF">
        <w:t>sepsis were significantly higher in patients with Hb &lt;12.0 and 12.0–12.9 g/dL compared to patients with Hb</w:t>
      </w:r>
      <w:r>
        <w:t xml:space="preserve"> </w:t>
      </w:r>
      <w:r w:rsidRPr="003044EF">
        <w:t>‡13.0 g/dL. Total length of hospital stay was significantly longer in female patients with Hb &lt;12.0 g/dL than</w:t>
      </w:r>
      <w:r>
        <w:t xml:space="preserve"> </w:t>
      </w:r>
      <w:r w:rsidRPr="003044EF">
        <w:t>patients with Hb 12.0–12.9 g/dL and Hb ‡13.0 g/dL (10 days vs. 8 days).</w:t>
      </w:r>
      <w:r>
        <w:t xml:space="preserve">  </w:t>
      </w:r>
      <w:r>
        <w:br/>
      </w:r>
      <w:r w:rsidRPr="003044EF">
        <w:rPr>
          <w:b/>
          <w:bCs/>
        </w:rPr>
        <w:t>Conclusion</w:t>
      </w:r>
      <w:r w:rsidRPr="003044EF">
        <w:t>: Taken together, our data show that Hb values below 12.9 g/dL are associated with increased</w:t>
      </w:r>
      <w:r>
        <w:t xml:space="preserve"> </w:t>
      </w:r>
      <w:r w:rsidRPr="003044EF">
        <w:t>probability of RBC transfusions and increased risk of postoperative complications. In addition, our results</w:t>
      </w:r>
      <w:r>
        <w:t xml:space="preserve"> </w:t>
      </w:r>
      <w:r w:rsidRPr="003044EF">
        <w:t>indicate that postoperative outcomes for women might be optimized by increasing cut-off values for anemia.</w:t>
      </w:r>
      <w:r>
        <w:t xml:space="preserve">  </w:t>
      </w:r>
      <w:r w:rsidRPr="003044EF">
        <w:t>The call to revise the anemia threshold for women by the WHO can no longer be disregarded.</w:t>
      </w:r>
      <w:r>
        <w:t xml:space="preserve">  </w:t>
      </w:r>
    </w:p>
    <w:p w14:paraId="6578FD71" w14:textId="77777777" w:rsidR="00B30B2A" w:rsidRDefault="00B30B2A"/>
    <w:p w14:paraId="7764EB33" w14:textId="069D0B6E" w:rsidR="00216DE8" w:rsidRDefault="00216DE8" w:rsidP="00216DE8">
      <w:r>
        <w:t>2</w:t>
      </w:r>
      <w:r w:rsidRPr="00216DE8">
        <w:t>.</w:t>
      </w:r>
      <w:r w:rsidRPr="00216DE8">
        <w:tab/>
        <w:t xml:space="preserve">Baron DM, </w:t>
      </w:r>
      <w:proofErr w:type="spellStart"/>
      <w:r w:rsidRPr="00216DE8">
        <w:t>Hochrieser</w:t>
      </w:r>
      <w:proofErr w:type="spellEnd"/>
      <w:r w:rsidRPr="00216DE8">
        <w:t xml:space="preserve"> H, Posch M, et al. Preoperative </w:t>
      </w:r>
      <w:proofErr w:type="spellStart"/>
      <w:r w:rsidRPr="00216DE8">
        <w:t>anaemia</w:t>
      </w:r>
      <w:proofErr w:type="spellEnd"/>
      <w:r w:rsidRPr="00216DE8">
        <w:t xml:space="preserve"> is associated with poor clinical outcome in non-cardiac surgery patients. British journal of </w:t>
      </w:r>
      <w:proofErr w:type="spellStart"/>
      <w:r w:rsidRPr="00216DE8">
        <w:t>anaesthesia</w:t>
      </w:r>
      <w:proofErr w:type="spellEnd"/>
      <w:r w:rsidRPr="00216DE8">
        <w:t xml:space="preserve"> 2014;113(3):416-23. (In </w:t>
      </w:r>
      <w:proofErr w:type="spellStart"/>
      <w:r w:rsidRPr="00216DE8">
        <w:t>eng</w:t>
      </w:r>
      <w:proofErr w:type="spellEnd"/>
      <w:r w:rsidRPr="00216DE8">
        <w:t>). DOI: 10.1093/</w:t>
      </w:r>
      <w:proofErr w:type="spellStart"/>
      <w:r w:rsidRPr="00216DE8">
        <w:t>bja</w:t>
      </w:r>
      <w:proofErr w:type="spellEnd"/>
      <w:r w:rsidRPr="00216DE8">
        <w:t>/aeu098.</w:t>
      </w:r>
      <w:r>
        <w:t xml:space="preserve">  </w:t>
      </w:r>
    </w:p>
    <w:p w14:paraId="6BA3A18E" w14:textId="6B775C98" w:rsidR="001C1DD3" w:rsidRDefault="009D282E" w:rsidP="001C1DD3">
      <w:pPr>
        <w:rPr>
          <w:b/>
          <w:lang w:val="en-GB"/>
        </w:rPr>
      </w:pPr>
      <w:r w:rsidRPr="009D282E">
        <w:t xml:space="preserve">We included 39 309 patients in the analysis. Preoperative </w:t>
      </w:r>
      <w:proofErr w:type="spellStart"/>
      <w:r w:rsidRPr="009D282E">
        <w:t>anaemia</w:t>
      </w:r>
      <w:proofErr w:type="spellEnd"/>
      <w:r w:rsidR="008E0BBD">
        <w:t xml:space="preserve"> during 28 days before operation</w:t>
      </w:r>
      <w:r w:rsidRPr="009D282E">
        <w:t xml:space="preserve"> had a high</w:t>
      </w:r>
      <w:r>
        <w:t xml:space="preserve"> </w:t>
      </w:r>
      <w:r w:rsidRPr="009D282E">
        <w:t>prevalence in both men and women (31.1% and 26.5%, respectively). Multivariate analysis</w:t>
      </w:r>
      <w:r>
        <w:t xml:space="preserve"> </w:t>
      </w:r>
      <w:r w:rsidRPr="009D282E">
        <w:t>showed that patients with severe [odds ratio 2.82 (95% confidence interval 2.06–3.85)] or</w:t>
      </w:r>
      <w:r>
        <w:t xml:space="preserve"> </w:t>
      </w:r>
      <w:r w:rsidRPr="009D282E">
        <w:t xml:space="preserve">moderate [1.99 (1.67–2.37)] </w:t>
      </w:r>
      <w:proofErr w:type="spellStart"/>
      <w:r w:rsidRPr="009D282E">
        <w:t>anaemia</w:t>
      </w:r>
      <w:proofErr w:type="spellEnd"/>
      <w:r w:rsidRPr="009D282E">
        <w:t xml:space="preserve"> had higher in-hospital mortality than those with</w:t>
      </w:r>
      <w:r w:rsidR="00A77CFE">
        <w:t xml:space="preserve"> </w:t>
      </w:r>
      <w:r w:rsidRPr="009D282E">
        <w:t>normal preoperative Hb concentrations. Furthermore, hospital length of stay (P,0.001) and</w:t>
      </w:r>
      <w:r w:rsidR="00A77CFE">
        <w:t xml:space="preserve"> </w:t>
      </w:r>
      <w:r w:rsidRPr="009D282E">
        <w:t xml:space="preserve">postoperative admission to intensive care (P,0.001) were greater in patients with </w:t>
      </w:r>
      <w:proofErr w:type="spellStart"/>
      <w:r w:rsidRPr="009D282E">
        <w:t>anaemia</w:t>
      </w:r>
      <w:proofErr w:type="spellEnd"/>
      <w:r w:rsidR="00A77CFE">
        <w:t xml:space="preserve"> </w:t>
      </w:r>
      <w:r w:rsidRPr="009D282E">
        <w:t>than in those with normal Hb concentrations.</w:t>
      </w:r>
      <w:r w:rsidR="00A77CFE">
        <w:t xml:space="preserve">  </w:t>
      </w:r>
      <w:r w:rsidR="001C1DD3">
        <w:br/>
      </w:r>
      <w:r w:rsidR="001C1DD3" w:rsidRPr="001C1DD3">
        <w:rPr>
          <w:lang w:val="en-GB"/>
        </w:rPr>
        <w:t>Definitions and prevalence of anaemia and polycythaemia.</w:t>
      </w:r>
      <w:r w:rsidR="00F5552E">
        <w:rPr>
          <w:lang w:val="en-GB"/>
        </w:rPr>
        <w:t xml:space="preserve">  </w:t>
      </w:r>
      <w:r w:rsidR="00F5552E">
        <w:rPr>
          <w:lang w:val="en-GB"/>
        </w:rPr>
        <w:br/>
      </w:r>
      <w:r w:rsidR="00F5552E">
        <w:rPr>
          <w:lang w:val="en-GB"/>
        </w:rPr>
        <w:br/>
      </w:r>
      <w:r w:rsidR="00F5552E">
        <w:rPr>
          <w:lang w:val="en-GB"/>
        </w:rPr>
        <w:br/>
      </w:r>
    </w:p>
    <w:p w14:paraId="37672A82" w14:textId="77777777" w:rsidR="00F5552E" w:rsidRPr="001C1DD3" w:rsidRDefault="00F5552E" w:rsidP="001C1DD3">
      <w:pPr>
        <w:rPr>
          <w:b/>
          <w:lang w:val="en-GB"/>
        </w:rPr>
      </w:pP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800"/>
        <w:gridCol w:w="1940"/>
        <w:gridCol w:w="1660"/>
        <w:gridCol w:w="1530"/>
        <w:gridCol w:w="630"/>
      </w:tblGrid>
      <w:tr w:rsidR="001C1DD3" w:rsidRPr="001C1DD3" w14:paraId="4F821464" w14:textId="77777777" w:rsidTr="00F5552E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AA8F" w14:textId="77777777" w:rsidR="00F5552E" w:rsidRPr="001C1DD3" w:rsidRDefault="00F5552E" w:rsidP="001C1DD3">
            <w:pPr>
              <w:rPr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913864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Severe anaemia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2D4BB0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Moderate anaemia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BD866B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Mild anaemia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DA646F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Normal haemoglobin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54B9438" w14:textId="27C10E2E" w:rsidR="001C1DD3" w:rsidRPr="001C1DD3" w:rsidRDefault="001C1DD3" w:rsidP="001C1DD3">
            <w:pPr>
              <w:rPr>
                <w:lang w:val="en-GB"/>
              </w:rPr>
            </w:pPr>
          </w:p>
        </w:tc>
      </w:tr>
      <w:tr w:rsidR="001C1DD3" w:rsidRPr="001C1DD3" w14:paraId="5A554219" w14:textId="77777777" w:rsidTr="00F5552E">
        <w:trPr>
          <w:trHeight w:val="375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522C9" w14:textId="77777777" w:rsidR="001C1DD3" w:rsidRPr="001C1DD3" w:rsidRDefault="001C1DD3" w:rsidP="001C1DD3">
            <w:pPr>
              <w:rPr>
                <w:lang w:val="en-GB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24466B" w14:textId="77777777" w:rsidR="001C1DD3" w:rsidRPr="001C1DD3" w:rsidRDefault="001C1DD3" w:rsidP="001C1DD3">
            <w:pPr>
              <w:rPr>
                <w:lang w:val="en-GB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AE690F" w14:textId="77777777" w:rsidR="001C1DD3" w:rsidRPr="001C1DD3" w:rsidRDefault="001C1DD3" w:rsidP="001C1DD3">
            <w:pPr>
              <w:rPr>
                <w:lang w:val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015DC2" w14:textId="77777777" w:rsidR="001C1DD3" w:rsidRPr="001C1DD3" w:rsidRDefault="001C1DD3" w:rsidP="001C1DD3">
            <w:pPr>
              <w:rPr>
                <w:lang w:val="en-GB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76B851" w14:textId="77777777" w:rsidR="001C1DD3" w:rsidRPr="001C1DD3" w:rsidRDefault="001C1DD3" w:rsidP="001C1DD3">
            <w:pPr>
              <w:rPr>
                <w:lang w:val="en-GB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89B0ED" w14:textId="77777777" w:rsidR="001C1DD3" w:rsidRPr="001C1DD3" w:rsidRDefault="001C1DD3" w:rsidP="001C1DD3">
            <w:pPr>
              <w:rPr>
                <w:lang w:val="en-GB"/>
              </w:rPr>
            </w:pPr>
          </w:p>
        </w:tc>
      </w:tr>
      <w:tr w:rsidR="001C1DD3" w:rsidRPr="001C1DD3" w14:paraId="2A4FE83F" w14:textId="77777777" w:rsidTr="00F5552E">
        <w:trPr>
          <w:trHeight w:val="36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5964C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Men (g dl</w:t>
            </w:r>
            <w:r w:rsidRPr="001C1DD3">
              <w:rPr>
                <w:vertAlign w:val="superscript"/>
                <w:lang w:val="en-GB"/>
              </w:rPr>
              <w:t>-1</w:t>
            </w:r>
            <w:r w:rsidRPr="001C1DD3">
              <w:rPr>
                <w:lang w:val="en-GB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39397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&lt;8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1C140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8-&lt;11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F9355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11-&lt;13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410F9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13-&lt;17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C0C48" w14:textId="3449B1B6" w:rsidR="001C1DD3" w:rsidRPr="001C1DD3" w:rsidRDefault="001C1DD3" w:rsidP="001C1DD3">
            <w:pPr>
              <w:rPr>
                <w:lang w:val="en-GB"/>
              </w:rPr>
            </w:pPr>
          </w:p>
        </w:tc>
      </w:tr>
      <w:tr w:rsidR="001C1DD3" w:rsidRPr="001C1DD3" w14:paraId="6696BDB3" w14:textId="77777777" w:rsidTr="00F5552E">
        <w:trPr>
          <w:trHeight w:val="34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D744E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Women (g dl</w:t>
            </w:r>
            <w:r w:rsidRPr="001C1DD3">
              <w:rPr>
                <w:vertAlign w:val="superscript"/>
                <w:lang w:val="en-GB"/>
              </w:rPr>
              <w:t>-1</w:t>
            </w:r>
            <w:r w:rsidRPr="001C1DD3">
              <w:rPr>
                <w:lang w:val="en-GB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3AFC1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&lt;8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A234F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8-&lt;10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936EA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10-&lt;12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C5EBC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12-&lt;16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B4730" w14:textId="0A335309" w:rsidR="001C1DD3" w:rsidRPr="001C1DD3" w:rsidRDefault="001C1DD3" w:rsidP="001C1DD3">
            <w:pPr>
              <w:rPr>
                <w:lang w:val="en-GB"/>
              </w:rPr>
            </w:pPr>
          </w:p>
        </w:tc>
      </w:tr>
      <w:tr w:rsidR="001C1DD3" w:rsidRPr="001C1DD3" w14:paraId="26DA1B74" w14:textId="77777777" w:rsidTr="00F5552E">
        <w:trPr>
          <w:trHeight w:val="34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85DE2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Total (N=39,309)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6897C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637 (1.6%)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5207A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3,427 (8.7%)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BDEA2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7,231 (18.4%)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8BF6D" w14:textId="77777777" w:rsidR="001C1DD3" w:rsidRPr="001C1DD3" w:rsidRDefault="001C1DD3" w:rsidP="001C1DD3">
            <w:pPr>
              <w:rPr>
                <w:lang w:val="en-GB"/>
              </w:rPr>
            </w:pPr>
            <w:r w:rsidRPr="001C1DD3">
              <w:rPr>
                <w:lang w:val="en-GB"/>
              </w:rPr>
              <w:t>27,439 (69.8%)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47284" w14:textId="6E05316C" w:rsidR="001C1DD3" w:rsidRPr="001C1DD3" w:rsidRDefault="001C1DD3" w:rsidP="001C1DD3">
            <w:pPr>
              <w:rPr>
                <w:lang w:val="en-GB"/>
              </w:rPr>
            </w:pPr>
          </w:p>
        </w:tc>
      </w:tr>
    </w:tbl>
    <w:p w14:paraId="1EE24A19" w14:textId="185C0164" w:rsidR="00216DE8" w:rsidRPr="00216DE8" w:rsidRDefault="00216DE8" w:rsidP="009D282E"/>
    <w:p w14:paraId="2D992B0C" w14:textId="088B9CC4" w:rsidR="008E0BBD" w:rsidRDefault="008E0BBD" w:rsidP="008E0BBD">
      <w:r>
        <w:t>3</w:t>
      </w:r>
      <w:r w:rsidRPr="008E0BBD">
        <w:t>.</w:t>
      </w:r>
      <w:r w:rsidRPr="008E0BBD">
        <w:tab/>
        <w:t xml:space="preserve">Gabriel RA, Clark AI, Nguyen AP, Waterman RS, Schmidt UH. The Association of Preoperative Hematocrit and Transfusion with Mortality in Patients Undergoing Elective Non-cardiac Surgery. World journal of surgery 2018;42(7):1939-1948. (In </w:t>
      </w:r>
      <w:proofErr w:type="spellStart"/>
      <w:r w:rsidRPr="008E0BBD">
        <w:t>eng</w:t>
      </w:r>
      <w:proofErr w:type="spellEnd"/>
      <w:r w:rsidRPr="008E0BBD">
        <w:t>). DOI: 10.1007/s00268-017-4359-y.</w:t>
      </w:r>
      <w:r>
        <w:t xml:space="preserve">  </w:t>
      </w:r>
    </w:p>
    <w:p w14:paraId="646EE4AC" w14:textId="30D67147" w:rsidR="008E0BBD" w:rsidRDefault="00CF7996" w:rsidP="00CF7996">
      <w:r w:rsidRPr="00CF7996">
        <w:rPr>
          <w:b/>
          <w:bCs/>
        </w:rPr>
        <w:t>Methods</w:t>
      </w:r>
      <w:r w:rsidR="00CB7030">
        <w:t>:</w:t>
      </w:r>
      <w:r w:rsidRPr="00CF7996">
        <w:t xml:space="preserve"> This is a retrospective cohort study using the American College of Surgeons N</w:t>
      </w:r>
      <w:r w:rsidR="00B82510">
        <w:t>SQIP</w:t>
      </w:r>
      <w:r w:rsidRPr="00CF7996">
        <w:t xml:space="preserve"> database from 2011 to 2013. Cohorts were analyzed based on preoperative hematocrit range—patients with: (1) no anemia, (2) hematocrit </w:t>
      </w:r>
      <w:r w:rsidR="00620EA3" w:rsidRPr="00620EA3">
        <w:rPr>
          <w:u w:val="single"/>
        </w:rPr>
        <w:t>&gt;</w:t>
      </w:r>
      <w:r w:rsidRPr="00CF7996">
        <w:t>33% and</w:t>
      </w:r>
      <w:r w:rsidR="00620EA3">
        <w:t>&lt;</w:t>
      </w:r>
      <w:r w:rsidRPr="00CF7996">
        <w:t>36% in females or</w:t>
      </w:r>
      <w:r w:rsidR="00620EA3">
        <w:t>&lt;</w:t>
      </w:r>
      <w:r w:rsidRPr="00CF7996">
        <w:t xml:space="preserve">39% in males, (3) hematocrit </w:t>
      </w:r>
      <w:r w:rsidR="00620EA3" w:rsidRPr="00620EA3">
        <w:rPr>
          <w:u w:val="single"/>
        </w:rPr>
        <w:t>&gt;</w:t>
      </w:r>
      <w:r w:rsidRPr="00CF7996">
        <w:t>30%</w:t>
      </w:r>
      <w:r>
        <w:t xml:space="preserve"> </w:t>
      </w:r>
      <w:r w:rsidRPr="00CF7996">
        <w:t>and</w:t>
      </w:r>
      <w:r w:rsidR="00620EA3">
        <w:t>&lt;</w:t>
      </w:r>
      <w:r w:rsidRPr="00CF7996">
        <w:t xml:space="preserve">33%, (4) hematocrit </w:t>
      </w:r>
      <w:r w:rsidR="00620EA3" w:rsidRPr="00620EA3">
        <w:rPr>
          <w:u w:val="single"/>
        </w:rPr>
        <w:t>&gt;</w:t>
      </w:r>
      <w:r w:rsidRPr="00CF7996">
        <w:t>27% and</w:t>
      </w:r>
      <w:r w:rsidR="00620EA3">
        <w:t>&lt;</w:t>
      </w:r>
      <w:r w:rsidRPr="00CF7996">
        <w:t xml:space="preserve">30%, (5) hematocrit </w:t>
      </w:r>
      <w:r w:rsidR="00620EA3" w:rsidRPr="00620EA3">
        <w:rPr>
          <w:u w:val="single"/>
        </w:rPr>
        <w:t>&gt;</w:t>
      </w:r>
      <w:r w:rsidRPr="00CF7996">
        <w:t>24% and</w:t>
      </w:r>
      <w:r w:rsidR="00620EA3">
        <w:t>&lt;</w:t>
      </w:r>
      <w:r w:rsidRPr="00CF7996">
        <w:t xml:space="preserve">27%, and (6) hematocrit </w:t>
      </w:r>
      <w:r w:rsidR="00620EA3" w:rsidRPr="00620EA3">
        <w:rPr>
          <w:u w:val="single"/>
        </w:rPr>
        <w:t>&gt;</w:t>
      </w:r>
      <w:r w:rsidRPr="00CF7996">
        <w:t xml:space="preserve">21% and </w:t>
      </w:r>
      <w:r w:rsidR="00620EA3">
        <w:t>&lt;</w:t>
      </w:r>
      <w:r w:rsidRPr="00CF7996">
        <w:t>24%. Multivariable logistic regression was used to analyze the association of anemia and transfusion with</w:t>
      </w:r>
      <w:r>
        <w:t xml:space="preserve"> </w:t>
      </w:r>
      <w:r w:rsidRPr="00CF7996">
        <w:t>30-day in-hospital mortality.</w:t>
      </w:r>
      <w:r>
        <w:t xml:space="preserve"> </w:t>
      </w:r>
      <w:r>
        <w:br/>
      </w:r>
      <w:r w:rsidRPr="00CF7996">
        <w:rPr>
          <w:b/>
          <w:bCs/>
        </w:rPr>
        <w:t>Results</w:t>
      </w:r>
      <w:r w:rsidR="00CB7030">
        <w:t>:</w:t>
      </w:r>
      <w:r w:rsidRPr="00CF7996">
        <w:t xml:space="preserve"> The odds for 30-day mortality increased incrementally as the hematocrit ranges decreased, in which preoperative</w:t>
      </w:r>
      <w:r>
        <w:t xml:space="preserve"> </w:t>
      </w:r>
      <w:r w:rsidRPr="00CF7996">
        <w:t>hematocrit between 21 and 24% had the highest odds for this outcome (odds ratio [OR] 6.50, p</w:t>
      </w:r>
      <w:r w:rsidR="009E6A75">
        <w:t>&lt;</w:t>
      </w:r>
      <w:r w:rsidRPr="00CF7996">
        <w:t>0.0001)</w:t>
      </w:r>
      <w:r>
        <w:t xml:space="preserve"> </w:t>
      </w:r>
      <w:r w:rsidRPr="00CF7996">
        <w:t>compared to the reference group (no anemia). The use of transfusion increased the odds of mortality even further (OR</w:t>
      </w:r>
      <w:r>
        <w:t xml:space="preserve"> </w:t>
      </w:r>
      <w:r w:rsidRPr="00CF7996">
        <w:t>5.57, p</w:t>
      </w:r>
      <w:r w:rsidR="009E6A75">
        <w:t>&lt;</w:t>
      </w:r>
      <w:r w:rsidRPr="00CF7996">
        <w:t xml:space="preserve">0.0001). </w:t>
      </w:r>
      <w:r w:rsidR="009E6A75">
        <w:t xml:space="preserve"> </w:t>
      </w:r>
      <w:r w:rsidRPr="00CF7996">
        <w:t>Among patients that received an intra-/postoperative transfusion, preoperative anemia was not</w:t>
      </w:r>
      <w:r>
        <w:t xml:space="preserve"> </w:t>
      </w:r>
      <w:r w:rsidRPr="00CF7996">
        <w:t>predictive of mortality.</w:t>
      </w:r>
      <w:r>
        <w:t xml:space="preserve">  </w:t>
      </w:r>
    </w:p>
    <w:p w14:paraId="5EB17A45" w14:textId="77777777" w:rsidR="00FE5FE8" w:rsidRDefault="0044456B" w:rsidP="00CF7996">
      <w:r>
        <w:t xml:space="preserve">Same association of anemia with mortality after multivariate analysis.  </w:t>
      </w:r>
    </w:p>
    <w:p w14:paraId="4DE12504" w14:textId="77777777" w:rsidR="00FE5FE8" w:rsidRDefault="00FE5FE8" w:rsidP="00CF7996"/>
    <w:p w14:paraId="5564D59E" w14:textId="1B32EC00" w:rsidR="00FE5FE8" w:rsidRDefault="00FE5FE8" w:rsidP="00FE5FE8">
      <w:r w:rsidRPr="0088615D">
        <w:rPr>
          <w:color w:val="FF0000"/>
        </w:rPr>
        <w:t>4</w:t>
      </w:r>
      <w:r w:rsidRPr="00FE5FE8">
        <w:rPr>
          <w:color w:val="FF0000"/>
        </w:rPr>
        <w:t>.</w:t>
      </w:r>
      <w:r w:rsidRPr="00FE5FE8">
        <w:tab/>
        <w:t xml:space="preserve">Musallam KM, Tamim HM, Richards T, et al. Preoperative </w:t>
      </w:r>
      <w:proofErr w:type="spellStart"/>
      <w:r w:rsidRPr="00FE5FE8">
        <w:t>anaemia</w:t>
      </w:r>
      <w:proofErr w:type="spellEnd"/>
      <w:r w:rsidRPr="00FE5FE8">
        <w:t xml:space="preserve"> and postoperative outcomes in non-cardiac surgery: a retrospective cohort study. Lancet (London, England) 2011;378(9800):1396-407. (In </w:t>
      </w:r>
      <w:proofErr w:type="spellStart"/>
      <w:r w:rsidRPr="00FE5FE8">
        <w:t>eng</w:t>
      </w:r>
      <w:proofErr w:type="spellEnd"/>
      <w:r w:rsidRPr="00FE5FE8">
        <w:t>). DOI: 10.1016/s0140-6736(11)61381-0.</w:t>
      </w:r>
      <w:r>
        <w:t xml:space="preserve"> </w:t>
      </w:r>
    </w:p>
    <w:p w14:paraId="5CD25B75" w14:textId="760E8003" w:rsidR="00FE5FE8" w:rsidRPr="00FE5FE8" w:rsidRDefault="00FE5FE8" w:rsidP="00FE5FE8">
      <w:r w:rsidRPr="00FE5FE8">
        <w:rPr>
          <w:rFonts w:hint="eastAsia"/>
        </w:rPr>
        <w:t>We obtained data for 227 425 patients, of whom 69 229 (30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 xml:space="preserve">44%) had preoperative </w:t>
      </w:r>
      <w:proofErr w:type="spellStart"/>
      <w:r w:rsidRPr="00FE5FE8">
        <w:rPr>
          <w:rFonts w:hint="eastAsia"/>
        </w:rPr>
        <w:t>anaemia</w:t>
      </w:r>
      <w:proofErr w:type="spellEnd"/>
      <w:r w:rsidRPr="00FE5FE8">
        <w:rPr>
          <w:rFonts w:hint="eastAsia"/>
        </w:rPr>
        <w:t>. After adjustment,</w:t>
      </w:r>
      <w:r w:rsidRPr="00FE5FE8">
        <w:t xml:space="preserve"> postoperative mortality at 30 days was higher in patients with </w:t>
      </w:r>
      <w:proofErr w:type="spellStart"/>
      <w:r w:rsidRPr="00FE5FE8">
        <w:t>anaemia</w:t>
      </w:r>
      <w:proofErr w:type="spellEnd"/>
      <w:r w:rsidRPr="00FE5FE8">
        <w:t xml:space="preserve"> than in those without </w:t>
      </w:r>
      <w:proofErr w:type="spellStart"/>
      <w:r w:rsidRPr="00FE5FE8">
        <w:t>anaemia</w:t>
      </w:r>
      <w:proofErr w:type="spellEnd"/>
      <w:r w:rsidRPr="00FE5FE8">
        <w:t xml:space="preserve"> (odds ratio [OR] </w:t>
      </w:r>
      <w:r w:rsidRPr="00FE5FE8">
        <w:rPr>
          <w:rFonts w:hint="eastAsia"/>
        </w:rPr>
        <w:t>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42, 95% CI 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31–1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 xml:space="preserve">54); this diff </w:t>
      </w:r>
      <w:proofErr w:type="spellStart"/>
      <w:r w:rsidRPr="00FE5FE8">
        <w:rPr>
          <w:rFonts w:hint="eastAsia"/>
        </w:rPr>
        <w:t>erence</w:t>
      </w:r>
      <w:proofErr w:type="spellEnd"/>
      <w:r w:rsidRPr="00FE5FE8">
        <w:rPr>
          <w:rFonts w:hint="eastAsia"/>
        </w:rPr>
        <w:t xml:space="preserve"> was consistent in mild </w:t>
      </w:r>
      <w:proofErr w:type="spellStart"/>
      <w:r w:rsidRPr="00FE5FE8">
        <w:rPr>
          <w:rFonts w:hint="eastAsia"/>
        </w:rPr>
        <w:t>anaemia</w:t>
      </w:r>
      <w:proofErr w:type="spellEnd"/>
      <w:r w:rsidRPr="00FE5FE8">
        <w:rPr>
          <w:rFonts w:hint="eastAsia"/>
        </w:rPr>
        <w:t xml:space="preserve"> (1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41, 1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30–1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53) and moderate-to-severe</w:t>
      </w:r>
      <w:r w:rsidRPr="00FE5FE8">
        <w:t xml:space="preserve"> </w:t>
      </w:r>
      <w:proofErr w:type="spellStart"/>
      <w:r w:rsidRPr="00FE5FE8">
        <w:rPr>
          <w:rFonts w:hint="eastAsia"/>
        </w:rPr>
        <w:t>anaemia</w:t>
      </w:r>
      <w:proofErr w:type="spellEnd"/>
      <w:r w:rsidRPr="00FE5FE8">
        <w:rPr>
          <w:rFonts w:hint="eastAsia"/>
        </w:rPr>
        <w:t xml:space="preserve"> (1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44, 1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29–1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 xml:space="preserve">60). Composite postoperative morbidity at 30 days was also higher in patients with </w:t>
      </w:r>
      <w:proofErr w:type="spellStart"/>
      <w:r w:rsidRPr="00FE5FE8">
        <w:rPr>
          <w:rFonts w:hint="eastAsia"/>
        </w:rPr>
        <w:t>anaemia</w:t>
      </w:r>
      <w:proofErr w:type="spellEnd"/>
      <w:r w:rsidRPr="00FE5FE8">
        <w:t xml:space="preserve"> </w:t>
      </w:r>
      <w:r w:rsidRPr="00FE5FE8">
        <w:rPr>
          <w:rFonts w:hint="eastAsia"/>
        </w:rPr>
        <w:t xml:space="preserve">than in those without </w:t>
      </w:r>
      <w:proofErr w:type="spellStart"/>
      <w:r w:rsidRPr="00FE5FE8">
        <w:rPr>
          <w:rFonts w:hint="eastAsia"/>
        </w:rPr>
        <w:t>anaemia</w:t>
      </w:r>
      <w:proofErr w:type="spellEnd"/>
      <w:r w:rsidRPr="00FE5FE8">
        <w:rPr>
          <w:rFonts w:hint="eastAsia"/>
        </w:rPr>
        <w:t xml:space="preserve"> (adjusted OR 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35, 1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30–1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 xml:space="preserve">40), again consistent in patients with mild </w:t>
      </w:r>
      <w:proofErr w:type="spellStart"/>
      <w:r w:rsidRPr="00FE5FE8">
        <w:rPr>
          <w:rFonts w:hint="eastAsia"/>
        </w:rPr>
        <w:t>anaemia</w:t>
      </w:r>
      <w:proofErr w:type="spellEnd"/>
      <w:r w:rsidRPr="00FE5FE8">
        <w:rPr>
          <w:rFonts w:hint="eastAsia"/>
        </w:rPr>
        <w:t xml:space="preserve"> (1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31,</w:t>
      </w:r>
      <w:r w:rsidRPr="00FE5FE8">
        <w:t xml:space="preserve"> </w:t>
      </w:r>
      <w:r w:rsidRPr="00FE5FE8">
        <w:rPr>
          <w:rFonts w:hint="eastAsia"/>
        </w:rPr>
        <w:t>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26–1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 xml:space="preserve">36) and moderate-to-severe </w:t>
      </w:r>
      <w:proofErr w:type="spellStart"/>
      <w:r w:rsidRPr="00FE5FE8">
        <w:rPr>
          <w:rFonts w:hint="eastAsia"/>
        </w:rPr>
        <w:t>anaemia</w:t>
      </w:r>
      <w:proofErr w:type="spellEnd"/>
      <w:r w:rsidRPr="00FE5FE8">
        <w:rPr>
          <w:rFonts w:hint="eastAsia"/>
        </w:rPr>
        <w:t xml:space="preserve"> (1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56, 1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>47–1</w:t>
      </w:r>
      <w:r w:rsidRPr="00FE5FE8">
        <w:rPr>
          <w:rFonts w:ascii="MS Gothic" w:eastAsia="MS Gothic" w:hAnsi="MS Gothic" w:cs="MS Gothic" w:hint="eastAsia"/>
        </w:rPr>
        <w:t>・</w:t>
      </w:r>
      <w:r w:rsidRPr="00FE5FE8">
        <w:rPr>
          <w:rFonts w:hint="eastAsia"/>
        </w:rPr>
        <w:t xml:space="preserve">66). When compared with patients without </w:t>
      </w:r>
      <w:proofErr w:type="spellStart"/>
      <w:r w:rsidRPr="00FE5FE8">
        <w:rPr>
          <w:rFonts w:hint="eastAsia"/>
        </w:rPr>
        <w:t>anaemia</w:t>
      </w:r>
      <w:proofErr w:type="spellEnd"/>
      <w:r w:rsidRPr="00FE5FE8">
        <w:rPr>
          <w:rFonts w:hint="eastAsia"/>
        </w:rPr>
        <w:t xml:space="preserve"> or a</w:t>
      </w:r>
      <w:r w:rsidRPr="00FE5FE8">
        <w:t xml:space="preserve"> defined risk factor, patients with </w:t>
      </w:r>
      <w:proofErr w:type="spellStart"/>
      <w:r w:rsidRPr="00FE5FE8">
        <w:t>anaemia</w:t>
      </w:r>
      <w:proofErr w:type="spellEnd"/>
      <w:r w:rsidRPr="00FE5FE8">
        <w:t xml:space="preserve"> and most risk factors had a higher adjusted OR for 30-day mortality and morbidity than did patients with either </w:t>
      </w:r>
      <w:proofErr w:type="spellStart"/>
      <w:r w:rsidRPr="00FE5FE8">
        <w:t>anaemia</w:t>
      </w:r>
      <w:proofErr w:type="spellEnd"/>
      <w:r w:rsidRPr="00FE5FE8">
        <w:t xml:space="preserve"> or the risk factor alone.</w:t>
      </w:r>
      <w:r>
        <w:t xml:space="preserve">  </w:t>
      </w:r>
    </w:p>
    <w:p w14:paraId="52846758" w14:textId="59AC9BC8" w:rsidR="00CF7996" w:rsidRPr="008E0BBD" w:rsidRDefault="0044456B" w:rsidP="00CF7996">
      <w:r>
        <w:t xml:space="preserve">  </w:t>
      </w:r>
    </w:p>
    <w:p w14:paraId="064C7CA3" w14:textId="210A3213" w:rsidR="009E3FE0" w:rsidRDefault="009E3FE0" w:rsidP="009E3FE0">
      <w:r w:rsidRPr="009E3FE0">
        <w:rPr>
          <w:color w:val="FF0000"/>
        </w:rPr>
        <w:lastRenderedPageBreak/>
        <w:t>5</w:t>
      </w:r>
      <w:r w:rsidRPr="009E3FE0">
        <w:t>.</w:t>
      </w:r>
      <w:r w:rsidRPr="009E3FE0">
        <w:tab/>
        <w:t xml:space="preserve">Myles PS, Richards T, Klein A, et al. Postoperative </w:t>
      </w:r>
      <w:proofErr w:type="spellStart"/>
      <w:r w:rsidRPr="009E3FE0">
        <w:t>anaemia</w:t>
      </w:r>
      <w:proofErr w:type="spellEnd"/>
      <w:r w:rsidRPr="009E3FE0">
        <w:t xml:space="preserve"> and patient-</w:t>
      </w:r>
      <w:proofErr w:type="spellStart"/>
      <w:r w:rsidRPr="009E3FE0">
        <w:t>centred</w:t>
      </w:r>
      <w:proofErr w:type="spellEnd"/>
      <w:r w:rsidRPr="009E3FE0">
        <w:t xml:space="preserve"> outcomes after major abdominal surgery: a retrospective cohort study. British journal of </w:t>
      </w:r>
      <w:proofErr w:type="spellStart"/>
      <w:r w:rsidRPr="009E3FE0">
        <w:t>anaesthesia</w:t>
      </w:r>
      <w:proofErr w:type="spellEnd"/>
      <w:r w:rsidRPr="009E3FE0">
        <w:t xml:space="preserve"> 2022;129(3):346-354. (In </w:t>
      </w:r>
      <w:proofErr w:type="spellStart"/>
      <w:r w:rsidRPr="009E3FE0">
        <w:t>eng</w:t>
      </w:r>
      <w:proofErr w:type="spellEnd"/>
      <w:r w:rsidRPr="009E3FE0">
        <w:t>). DOI: 10.1016/j.bja.2022.06.014.</w:t>
      </w:r>
      <w:r>
        <w:t xml:space="preserve">  </w:t>
      </w:r>
    </w:p>
    <w:p w14:paraId="05071252" w14:textId="2C6E9FA6" w:rsidR="009E3FE0" w:rsidRDefault="009E3FE0" w:rsidP="009E3FE0">
      <w:r w:rsidRPr="009E3FE0">
        <w:rPr>
          <w:b/>
          <w:bCs/>
        </w:rPr>
        <w:t>Results</w:t>
      </w:r>
      <w:r w:rsidRPr="009E3FE0">
        <w:t>: A total of 2983 patients met inclusion criteria for this study, of which 78.5% (95% confidence interval [CI],</w:t>
      </w:r>
      <w:r>
        <w:t xml:space="preserve"> </w:t>
      </w:r>
      <w:r w:rsidRPr="009E3FE0">
        <w:t>76.7</w:t>
      </w:r>
      <w:r>
        <w:t>-</w:t>
      </w:r>
      <w:r w:rsidRPr="009E3FE0">
        <w:t xml:space="preserve">80.1%) had postoperative </w:t>
      </w:r>
      <w:proofErr w:type="spellStart"/>
      <w:r w:rsidRPr="009E3FE0">
        <w:t>anaemia</w:t>
      </w:r>
      <w:proofErr w:type="spellEnd"/>
      <w:r w:rsidRPr="009E3FE0">
        <w:t xml:space="preserve">. Patients with postoperative </w:t>
      </w:r>
      <w:proofErr w:type="spellStart"/>
      <w:r w:rsidRPr="009E3FE0">
        <w:t>anaemia</w:t>
      </w:r>
      <w:proofErr w:type="spellEnd"/>
      <w:r w:rsidRPr="009E3FE0">
        <w:t xml:space="preserve"> had a higher adjusted risk of death or</w:t>
      </w:r>
      <w:r>
        <w:t xml:space="preserve"> </w:t>
      </w:r>
      <w:r w:rsidRPr="009E3FE0">
        <w:t xml:space="preserve">disability up to 90 days after surgery when compared with those without </w:t>
      </w:r>
      <w:proofErr w:type="spellStart"/>
      <w:r w:rsidRPr="009E3FE0">
        <w:t>anaemia</w:t>
      </w:r>
      <w:proofErr w:type="spellEnd"/>
      <w:r w:rsidRPr="009E3FE0">
        <w:t>: 18.2% vs 9.2% (risk ratio [RR]</w:t>
      </w:r>
      <w:r>
        <w:t>=</w:t>
      </w:r>
      <w:r w:rsidRPr="009E3FE0">
        <w:t>1.51;</w:t>
      </w:r>
      <w:r>
        <w:t xml:space="preserve"> </w:t>
      </w:r>
      <w:r w:rsidRPr="009E3FE0">
        <w:t>95% CI, 1.10</w:t>
      </w:r>
      <w:r>
        <w:t>-</w:t>
      </w:r>
      <w:r w:rsidRPr="009E3FE0">
        <w:t>2.07, P</w:t>
      </w:r>
      <w:r>
        <w:t>=</w:t>
      </w:r>
      <w:r w:rsidRPr="009E3FE0">
        <w:t>0.011); lower QoR-15 scores on Day 3 and Day 30, 105 (95% CI, 87</w:t>
      </w:r>
      <w:r w:rsidR="006F7A13">
        <w:t>-</w:t>
      </w:r>
      <w:r w:rsidRPr="009E3FE0">
        <w:t>119) vs 114 (95% CI, 99</w:t>
      </w:r>
      <w:r w:rsidR="006F7A13">
        <w:t>-</w:t>
      </w:r>
      <w:r w:rsidRPr="009E3FE0">
        <w:t>128;</w:t>
      </w:r>
      <w:r w:rsidR="006F7A13">
        <w:t xml:space="preserve"> </w:t>
      </w:r>
      <w:r w:rsidRPr="009E3FE0">
        <w:t>P&lt;0.001), and 130 (95% CI, 112</w:t>
      </w:r>
      <w:r w:rsidR="006F7A13">
        <w:t>-</w:t>
      </w:r>
      <w:r w:rsidRPr="009E3FE0">
        <w:t>140) vs 139 (95% CI, 121</w:t>
      </w:r>
      <w:r w:rsidR="006F7A13">
        <w:t>-</w:t>
      </w:r>
      <w:r w:rsidRPr="009E3FE0">
        <w:t>144; P&lt;0.011), respectively; higher adjusted risk of a composite</w:t>
      </w:r>
      <w:r w:rsidR="006F7A13">
        <w:t xml:space="preserve"> </w:t>
      </w:r>
      <w:r w:rsidRPr="009E3FE0">
        <w:t>of mortality/septic complications, 2.01 (95% CI, 1.55</w:t>
      </w:r>
      <w:r w:rsidR="006F7A13">
        <w:t>-</w:t>
      </w:r>
      <w:r w:rsidRPr="009E3FE0">
        <w:t>42.67; P&lt;0.001); unplanned admission to ICU (RR</w:t>
      </w:r>
      <w:r w:rsidR="006F7A13">
        <w:t>=</w:t>
      </w:r>
      <w:r w:rsidRPr="009E3FE0">
        <w:t>2.65; 95% CI,</w:t>
      </w:r>
      <w:r w:rsidR="006F7A13">
        <w:t xml:space="preserve"> </w:t>
      </w:r>
      <w:r w:rsidRPr="009E3FE0">
        <w:t>1.65</w:t>
      </w:r>
      <w:r w:rsidR="006F7A13">
        <w:t>-</w:t>
      </w:r>
      <w:r w:rsidRPr="009E3FE0">
        <w:t>4.23; P&lt;0.001); and longer median (inter-quartile range [IQR]) hospital stays, 6.6 (4.4</w:t>
      </w:r>
      <w:r w:rsidR="006F7A13">
        <w:t>-</w:t>
      </w:r>
      <w:r w:rsidRPr="009E3FE0">
        <w:t>12.4) vs 3.7 (2.5</w:t>
      </w:r>
      <w:r w:rsidR="006F7A13">
        <w:t>-</w:t>
      </w:r>
      <w:r w:rsidRPr="009E3FE0">
        <w:t>6.5) days</w:t>
      </w:r>
      <w:r w:rsidR="006F7A13">
        <w:t xml:space="preserve"> </w:t>
      </w:r>
      <w:r w:rsidRPr="009E3FE0">
        <w:t>(P&lt;0.001).</w:t>
      </w:r>
      <w:r w:rsidR="006F7A13">
        <w:t xml:space="preserve">  </w:t>
      </w:r>
    </w:p>
    <w:p w14:paraId="3E002460" w14:textId="205851F0" w:rsidR="006F7A13" w:rsidRDefault="00D0153D" w:rsidP="00D0153D">
      <w:pPr>
        <w:rPr>
          <w:color w:val="FF0000"/>
        </w:rPr>
      </w:pPr>
      <w:r w:rsidRPr="00D0153D">
        <w:rPr>
          <w:color w:val="FF0000"/>
        </w:rPr>
        <w:t>The reduction in Hb from baseline to postoperative Day 3</w:t>
      </w:r>
      <w:r w:rsidRPr="00123CC6">
        <w:rPr>
          <w:color w:val="FF0000"/>
        </w:rPr>
        <w:t xml:space="preserve"> </w:t>
      </w:r>
      <w:r w:rsidRPr="00D0153D">
        <w:rPr>
          <w:color w:val="FF0000"/>
        </w:rPr>
        <w:t xml:space="preserve">was greater in the </w:t>
      </w:r>
      <w:proofErr w:type="spellStart"/>
      <w:r w:rsidRPr="00D0153D">
        <w:rPr>
          <w:color w:val="FF0000"/>
        </w:rPr>
        <w:t>anaemic</w:t>
      </w:r>
      <w:proofErr w:type="spellEnd"/>
      <w:r w:rsidRPr="00D0153D">
        <w:rPr>
          <w:color w:val="FF0000"/>
        </w:rPr>
        <w:t xml:space="preserve"> group, 24 (IQR, 13</w:t>
      </w:r>
      <w:r w:rsidRPr="00123CC6">
        <w:rPr>
          <w:color w:val="FF0000"/>
        </w:rPr>
        <w:t>-</w:t>
      </w:r>
      <w:r w:rsidRPr="00D0153D">
        <w:rPr>
          <w:color w:val="FF0000"/>
        </w:rPr>
        <w:t>25) g</w:t>
      </w:r>
      <w:r w:rsidRPr="00123CC6">
        <w:rPr>
          <w:color w:val="FF0000"/>
        </w:rPr>
        <w:t>/</w:t>
      </w:r>
      <w:r w:rsidR="00CB7030">
        <w:rPr>
          <w:color w:val="FF0000"/>
        </w:rPr>
        <w:t>L</w:t>
      </w:r>
      <w:r w:rsidRPr="00D0153D">
        <w:rPr>
          <w:color w:val="FF0000"/>
        </w:rPr>
        <w:t xml:space="preserve">  vs </w:t>
      </w:r>
      <w:proofErr w:type="spellStart"/>
      <w:r w:rsidRPr="00D0153D">
        <w:rPr>
          <w:color w:val="FF0000"/>
        </w:rPr>
        <w:t>nonanaemic</w:t>
      </w:r>
      <w:proofErr w:type="spellEnd"/>
      <w:r w:rsidRPr="00123CC6">
        <w:rPr>
          <w:color w:val="FF0000"/>
        </w:rPr>
        <w:t xml:space="preserve"> </w:t>
      </w:r>
      <w:r w:rsidRPr="00D0153D">
        <w:rPr>
          <w:color w:val="FF0000"/>
        </w:rPr>
        <w:t>group, 13 (4</w:t>
      </w:r>
      <w:r w:rsidRPr="00123CC6">
        <w:rPr>
          <w:color w:val="FF0000"/>
        </w:rPr>
        <w:t>-</w:t>
      </w:r>
      <w:r w:rsidRPr="00D0153D">
        <w:rPr>
          <w:color w:val="FF0000"/>
        </w:rPr>
        <w:t xml:space="preserve">20) g </w:t>
      </w:r>
      <w:r w:rsidRPr="00123CC6">
        <w:rPr>
          <w:color w:val="FF0000"/>
        </w:rPr>
        <w:t>/</w:t>
      </w:r>
      <w:r w:rsidRPr="00D0153D">
        <w:rPr>
          <w:color w:val="FF0000"/>
        </w:rPr>
        <w:t>L; median difference 11 (95% CI,</w:t>
      </w:r>
      <w:r w:rsidRPr="00123CC6">
        <w:rPr>
          <w:color w:val="FF0000"/>
        </w:rPr>
        <w:t xml:space="preserve"> 8.9-13.1) g/ L (P&lt;0.001).  </w:t>
      </w:r>
      <w:r w:rsidR="00CB7030">
        <w:rPr>
          <w:color w:val="FF0000"/>
        </w:rPr>
        <w:t xml:space="preserve"> --  </w:t>
      </w:r>
      <w:r w:rsidR="00CB7030" w:rsidRPr="00CB7030">
        <w:rPr>
          <w:color w:val="FF0000"/>
          <w:u w:val="single"/>
        </w:rPr>
        <w:t>In other words, greater blood loss led to more complications</w:t>
      </w:r>
      <w:r w:rsidR="00CB7030">
        <w:rPr>
          <w:color w:val="FF0000"/>
        </w:rPr>
        <w:t xml:space="preserve">.  </w:t>
      </w:r>
    </w:p>
    <w:p w14:paraId="50A8AB47" w14:textId="77777777" w:rsidR="00123CC6" w:rsidRDefault="00123CC6" w:rsidP="00D0153D">
      <w:pPr>
        <w:rPr>
          <w:color w:val="FF0000"/>
        </w:rPr>
      </w:pPr>
    </w:p>
    <w:p w14:paraId="4C42CFAB" w14:textId="7420DF8B" w:rsidR="00CB7030" w:rsidRPr="00CB7030" w:rsidRDefault="00CB7030" w:rsidP="00CB7030">
      <w:pPr>
        <w:rPr>
          <w:color w:val="000000" w:themeColor="text1"/>
        </w:rPr>
      </w:pPr>
      <w:r>
        <w:rPr>
          <w:color w:val="FF0000"/>
        </w:rPr>
        <w:t>6</w:t>
      </w:r>
      <w:r w:rsidRPr="00CB7030">
        <w:rPr>
          <w:color w:val="FF0000"/>
        </w:rPr>
        <w:t>.</w:t>
      </w:r>
      <w:r w:rsidRPr="00CB7030">
        <w:rPr>
          <w:color w:val="FF0000"/>
        </w:rPr>
        <w:tab/>
      </w:r>
      <w:r w:rsidRPr="00CB7030">
        <w:rPr>
          <w:color w:val="000000" w:themeColor="text1"/>
        </w:rPr>
        <w:t xml:space="preserve">Schatz C, </w:t>
      </w:r>
      <w:proofErr w:type="spellStart"/>
      <w:r w:rsidRPr="00CB7030">
        <w:rPr>
          <w:color w:val="000000" w:themeColor="text1"/>
        </w:rPr>
        <w:t>Plötz</w:t>
      </w:r>
      <w:proofErr w:type="spellEnd"/>
      <w:r w:rsidRPr="00CB7030">
        <w:rPr>
          <w:color w:val="000000" w:themeColor="text1"/>
        </w:rPr>
        <w:t xml:space="preserve"> W, Beckmann J, Bredow K, Leidl R, Buschner P. Associations of preoperative anemia and postoperative hemoglobin values with hospital costs in total knee arthroplasty (TKA). Arch </w:t>
      </w:r>
      <w:proofErr w:type="spellStart"/>
      <w:r w:rsidRPr="00CB7030">
        <w:rPr>
          <w:color w:val="000000" w:themeColor="text1"/>
        </w:rPr>
        <w:t>Orthop</w:t>
      </w:r>
      <w:proofErr w:type="spellEnd"/>
      <w:r w:rsidRPr="00CB7030">
        <w:rPr>
          <w:color w:val="000000" w:themeColor="text1"/>
        </w:rPr>
        <w:t xml:space="preserve"> Trauma Surg 2023;143(11):6741-6751. (In </w:t>
      </w:r>
      <w:proofErr w:type="spellStart"/>
      <w:r w:rsidRPr="00CB7030">
        <w:rPr>
          <w:color w:val="000000" w:themeColor="text1"/>
        </w:rPr>
        <w:t>eng</w:t>
      </w:r>
      <w:proofErr w:type="spellEnd"/>
      <w:r w:rsidRPr="00CB7030">
        <w:rPr>
          <w:color w:val="000000" w:themeColor="text1"/>
        </w:rPr>
        <w:t>). DOI: 10.1007/s00402-023-04929-4.</w:t>
      </w:r>
    </w:p>
    <w:p w14:paraId="5DC391B7" w14:textId="6436DDF1" w:rsidR="00123CC6" w:rsidRDefault="00C752B0" w:rsidP="00C752B0">
      <w:pPr>
        <w:rPr>
          <w:color w:val="000000" w:themeColor="text1"/>
        </w:rPr>
      </w:pPr>
      <w:r w:rsidRPr="00C752B0">
        <w:rPr>
          <w:b/>
          <w:bCs/>
          <w:color w:val="000000" w:themeColor="text1"/>
        </w:rPr>
        <w:t>Results</w:t>
      </w:r>
      <w:r>
        <w:rPr>
          <w:color w:val="000000" w:themeColor="text1"/>
        </w:rPr>
        <w:t>:</w:t>
      </w:r>
      <w:r w:rsidRPr="00C752B0">
        <w:rPr>
          <w:color w:val="000000" w:themeColor="text1"/>
        </w:rPr>
        <w:t xml:space="preserve"> Preoperative anemic women had 426 Euros higher general ward costs (p &lt; 0.01), due to increased LOS. For men,</w:t>
      </w:r>
      <w:r>
        <w:rPr>
          <w:color w:val="000000" w:themeColor="text1"/>
        </w:rPr>
        <w:t xml:space="preserve"> </w:t>
      </w:r>
      <w:r w:rsidRPr="00C752B0">
        <w:rPr>
          <w:color w:val="000000" w:themeColor="text1"/>
        </w:rPr>
        <w:t>1 g/dl less Hb loss between the preoperative value and the value before discharge reduced total costs by 292 Euros (p &lt; 0.001)</w:t>
      </w:r>
      <w:r>
        <w:rPr>
          <w:color w:val="000000" w:themeColor="text1"/>
        </w:rPr>
        <w:t xml:space="preserve"> </w:t>
      </w:r>
      <w:r w:rsidRPr="00C752B0">
        <w:rPr>
          <w:color w:val="000000" w:themeColor="text1"/>
        </w:rPr>
        <w:t>and 161 Euros fewer general ward costs (p &lt; 0.001). Total hospital costs were reduced by 144 Euros with 1 g/dl higher Hb</w:t>
      </w:r>
      <w:r>
        <w:rPr>
          <w:color w:val="000000" w:themeColor="text1"/>
        </w:rPr>
        <w:t xml:space="preserve"> </w:t>
      </w:r>
      <w:r w:rsidRPr="00C752B0">
        <w:rPr>
          <w:color w:val="000000" w:themeColor="text1"/>
        </w:rPr>
        <w:t>on day 2 postoperatively for women (p &lt; 0.01).</w:t>
      </w:r>
      <w:r>
        <w:rPr>
          <w:color w:val="000000" w:themeColor="text1"/>
        </w:rPr>
        <w:t xml:space="preserve">  </w:t>
      </w:r>
    </w:p>
    <w:p w14:paraId="55B6E3B9" w14:textId="77777777" w:rsidR="00AE4441" w:rsidRDefault="00AE4441" w:rsidP="00C752B0">
      <w:pPr>
        <w:rPr>
          <w:color w:val="000000" w:themeColor="text1"/>
        </w:rPr>
      </w:pPr>
    </w:p>
    <w:p w14:paraId="586C58B7" w14:textId="7D4F1A37" w:rsidR="00C752B0" w:rsidRPr="008B4E25" w:rsidRDefault="008B4E25" w:rsidP="00C752B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Papers About Preop Correction of Anemia</w:t>
      </w:r>
    </w:p>
    <w:p w14:paraId="7FDBF5AB" w14:textId="77777777" w:rsidR="008B4E25" w:rsidRPr="00EC325A" w:rsidRDefault="008B4E25" w:rsidP="008B4E25">
      <w:r w:rsidRPr="00EC325A">
        <w:t>1.</w:t>
      </w:r>
      <w:r w:rsidRPr="00EC325A">
        <w:tab/>
        <w:t xml:space="preserve">Almonacid-Cardenas F, Rivas E, Auron M, et al. Association between preoperative anemia optimization and major complications after non-cardiac surgery: a retrospective analysis. Braz J </w:t>
      </w:r>
      <w:proofErr w:type="spellStart"/>
      <w:r w:rsidRPr="00EC325A">
        <w:t>Anesthesiol</w:t>
      </w:r>
      <w:proofErr w:type="spellEnd"/>
      <w:r w:rsidRPr="00EC325A">
        <w:t xml:space="preserve"> 2024;74(2):744474. (In </w:t>
      </w:r>
      <w:proofErr w:type="spellStart"/>
      <w:r w:rsidRPr="00EC325A">
        <w:t>eng</w:t>
      </w:r>
      <w:proofErr w:type="spellEnd"/>
      <w:r w:rsidRPr="00EC325A">
        <w:t>). DOI: 10.1016/j.bjane.2023.11.004.</w:t>
      </w:r>
    </w:p>
    <w:p w14:paraId="346CA811" w14:textId="77777777" w:rsidR="008B4E25" w:rsidRDefault="008B4E25" w:rsidP="008B4E25">
      <w:r w:rsidRPr="00BA1FCD">
        <w:rPr>
          <w:b/>
          <w:bCs/>
        </w:rPr>
        <w:t>Conclusion</w:t>
      </w:r>
      <w:r w:rsidRPr="00EC325A">
        <w:t>: Preoperative</w:t>
      </w:r>
      <w:r>
        <w:t xml:space="preserve"> </w:t>
      </w:r>
      <w:r w:rsidRPr="00EC325A">
        <w:t>anemia</w:t>
      </w:r>
      <w:r>
        <w:t xml:space="preserve"> </w:t>
      </w:r>
      <w:r w:rsidRPr="00EC325A">
        <w:t>optimization</w:t>
      </w:r>
      <w:r>
        <w:t xml:space="preserve"> </w:t>
      </w:r>
      <w:r w:rsidRPr="00EC325A">
        <w:t>did</w:t>
      </w:r>
      <w:r>
        <w:t xml:space="preserve"> </w:t>
      </w:r>
      <w:r w:rsidRPr="00EC325A">
        <w:t>not</w:t>
      </w:r>
      <w:r>
        <w:t xml:space="preserve"> </w:t>
      </w:r>
      <w:r w:rsidRPr="00EC325A">
        <w:t>appear</w:t>
      </w:r>
      <w:r>
        <w:t xml:space="preserve"> </w:t>
      </w:r>
      <w:r w:rsidRPr="00EC325A">
        <w:t>to</w:t>
      </w:r>
      <w:r>
        <w:t xml:space="preserve"> </w:t>
      </w:r>
      <w:r w:rsidRPr="00EC325A">
        <w:t>be</w:t>
      </w:r>
      <w:r>
        <w:t xml:space="preserve"> </w:t>
      </w:r>
      <w:r w:rsidRPr="00EC325A">
        <w:t>associated</w:t>
      </w:r>
      <w:r>
        <w:t xml:space="preserve"> </w:t>
      </w:r>
      <w:r w:rsidRPr="00EC325A">
        <w:t>with</w:t>
      </w:r>
      <w:r>
        <w:t xml:space="preserve"> </w:t>
      </w:r>
      <w:r w:rsidRPr="00EC325A">
        <w:t>a</w:t>
      </w:r>
      <w:r>
        <w:t xml:space="preserve"> </w:t>
      </w:r>
      <w:r w:rsidRPr="00EC325A">
        <w:t>composite outcome of</w:t>
      </w:r>
      <w:r>
        <w:t xml:space="preserve"> </w:t>
      </w:r>
      <w:r w:rsidRPr="00EC325A">
        <w:t>major</w:t>
      </w:r>
      <w:r>
        <w:t xml:space="preserve"> </w:t>
      </w:r>
      <w:r w:rsidRPr="00EC325A">
        <w:t>in-hospital</w:t>
      </w:r>
      <w:r>
        <w:t xml:space="preserve"> </w:t>
      </w:r>
      <w:r w:rsidRPr="00EC325A">
        <w:t>postoperative</w:t>
      </w:r>
      <w:r>
        <w:t xml:space="preserve"> </w:t>
      </w:r>
      <w:r w:rsidRPr="00EC325A">
        <w:t>cardiovascular,</w:t>
      </w:r>
      <w:r>
        <w:t xml:space="preserve"> </w:t>
      </w:r>
      <w:r w:rsidRPr="00EC325A">
        <w:t>renal,</w:t>
      </w:r>
      <w:r>
        <w:t xml:space="preserve"> </w:t>
      </w:r>
      <w:r w:rsidRPr="00EC325A">
        <w:t>and</w:t>
      </w:r>
      <w:r>
        <w:t xml:space="preserve"> </w:t>
      </w:r>
      <w:r w:rsidRPr="00EC325A">
        <w:t>pulmonary</w:t>
      </w:r>
      <w:r>
        <w:t xml:space="preserve"> </w:t>
      </w:r>
      <w:r w:rsidRPr="00EC325A">
        <w:t>complications and all-cause</w:t>
      </w:r>
      <w:r>
        <w:t xml:space="preserve"> </w:t>
      </w:r>
      <w:r w:rsidRPr="00EC325A">
        <w:t>in-hospital</w:t>
      </w:r>
      <w:r>
        <w:t xml:space="preserve"> </w:t>
      </w:r>
      <w:r w:rsidRPr="00EC325A">
        <w:t>mortality.</w:t>
      </w:r>
      <w:r>
        <w:t xml:space="preserve">  There were 5700  “optimized” patients and 8721 “non-optimized" patients studied at the Cleveland Clinic hospitals.  Anemia defined as Hgb &lt;12.0 g for women and 13.0 g for men.  C</w:t>
      </w:r>
      <w:r w:rsidRPr="00D15211">
        <w:t>onfounder-adjusted</w:t>
      </w:r>
      <w:r>
        <w:t xml:space="preserve"> </w:t>
      </w:r>
      <w:r w:rsidRPr="00D15211">
        <w:t>odds</w:t>
      </w:r>
      <w:r>
        <w:t xml:space="preserve"> </w:t>
      </w:r>
      <w:r w:rsidRPr="00D15211">
        <w:t>ratio</w:t>
      </w:r>
      <w:r>
        <w:t xml:space="preserve"> </w:t>
      </w:r>
      <w:r w:rsidRPr="00D15211">
        <w:t>estimate</w:t>
      </w:r>
      <w:r>
        <w:t xml:space="preserve"> </w:t>
      </w:r>
      <w:r w:rsidRPr="00D15211">
        <w:t>of</w:t>
      </w:r>
      <w:r>
        <w:t xml:space="preserve"> </w:t>
      </w:r>
      <w:r w:rsidRPr="00D15211">
        <w:t>0.99</w:t>
      </w:r>
      <w:r>
        <w:t xml:space="preserve"> </w:t>
      </w:r>
      <w:r w:rsidRPr="00D15211">
        <w:t>(95%</w:t>
      </w:r>
      <w:r>
        <w:t xml:space="preserve"> </w:t>
      </w:r>
      <w:r w:rsidRPr="00D15211">
        <w:t>CI</w:t>
      </w:r>
      <w:r>
        <w:br/>
      </w:r>
      <w:r w:rsidRPr="00D15211">
        <w:t>0.86</w:t>
      </w:r>
      <w:r w:rsidRPr="00D15211">
        <w:rPr>
          <w:rFonts w:ascii="Arial" w:hAnsi="Arial" w:cs="Arial"/>
        </w:rPr>
        <w:t>‒</w:t>
      </w:r>
      <w:r>
        <w:rPr>
          <w:rFonts w:ascii="Arial" w:hAnsi="Arial" w:cs="Arial"/>
        </w:rPr>
        <w:t>1</w:t>
      </w:r>
      <w:r w:rsidRPr="00D15211">
        <w:t>.15)</w:t>
      </w:r>
      <w:r>
        <w:t xml:space="preserve"> </w:t>
      </w:r>
      <w:r w:rsidRPr="00D15211">
        <w:t>for</w:t>
      </w:r>
      <w:r>
        <w:t xml:space="preserve"> </w:t>
      </w:r>
      <w:r w:rsidRPr="00D15211">
        <w:t>anemia</w:t>
      </w:r>
      <w:r>
        <w:t xml:space="preserve"> </w:t>
      </w:r>
      <w:r w:rsidRPr="00D15211">
        <w:t>optimization</w:t>
      </w:r>
      <w:r>
        <w:t xml:space="preserve"> </w:t>
      </w:r>
      <w:r w:rsidRPr="00D15211">
        <w:t>versus</w:t>
      </w:r>
      <w:r>
        <w:t xml:space="preserve"> </w:t>
      </w:r>
      <w:proofErr w:type="spellStart"/>
      <w:r w:rsidRPr="00D15211">
        <w:t>non</w:t>
      </w:r>
      <w:r>
        <w:t>o</w:t>
      </w:r>
      <w:r w:rsidRPr="00D15211">
        <w:t>ptimization</w:t>
      </w:r>
      <w:proofErr w:type="spellEnd"/>
      <w:r w:rsidRPr="00D15211">
        <w:t>,</w:t>
      </w:r>
      <w:r>
        <w:t xml:space="preserve"> </w:t>
      </w:r>
      <w:r w:rsidRPr="00D15211">
        <w:t>p=0.90.</w:t>
      </w:r>
      <w:r>
        <w:t xml:space="preserve">  </w:t>
      </w:r>
      <w:r w:rsidRPr="00D15211">
        <w:t>Intraoperative</w:t>
      </w:r>
      <w:r>
        <w:t xml:space="preserve"> </w:t>
      </w:r>
      <w:r w:rsidRPr="00D15211">
        <w:t>red</w:t>
      </w:r>
      <w:r>
        <w:t xml:space="preserve"> </w:t>
      </w:r>
      <w:r w:rsidRPr="00D15211">
        <w:t>blood</w:t>
      </w:r>
      <w:r>
        <w:t xml:space="preserve"> </w:t>
      </w:r>
      <w:r w:rsidRPr="00D15211">
        <w:t>cell</w:t>
      </w:r>
      <w:r>
        <w:t xml:space="preserve"> </w:t>
      </w:r>
      <w:r w:rsidRPr="00D15211">
        <w:t>transfusion</w:t>
      </w:r>
      <w:r>
        <w:t xml:space="preserve"> </w:t>
      </w:r>
      <w:r w:rsidRPr="00D15211">
        <w:t>had</w:t>
      </w:r>
      <w:r>
        <w:t xml:space="preserve"> </w:t>
      </w:r>
      <w:r w:rsidRPr="00D15211">
        <w:t>a</w:t>
      </w:r>
      <w:r>
        <w:t xml:space="preserve"> </w:t>
      </w:r>
      <w:r w:rsidRPr="00D15211">
        <w:t>minor</w:t>
      </w:r>
      <w:r>
        <w:t xml:space="preserve"> </w:t>
      </w:r>
      <w:r w:rsidRPr="00D15211">
        <w:t>mediation effect on the relationship between preoperative anemia optimization and the primary outcome, whereas duration of intraoperative hypotension was not found to be a mediator</w:t>
      </w:r>
      <w:r>
        <w:t xml:space="preserve">.  </w:t>
      </w:r>
    </w:p>
    <w:p w14:paraId="47787342" w14:textId="77777777" w:rsidR="008B4E25" w:rsidRPr="002464B1" w:rsidRDefault="008B4E25" w:rsidP="008B4E25">
      <w:pPr>
        <w:rPr>
          <w:color w:val="FF0000"/>
        </w:rPr>
      </w:pPr>
      <w:r w:rsidRPr="002464B1">
        <w:rPr>
          <w:color w:val="FF0000"/>
        </w:rPr>
        <w:lastRenderedPageBreak/>
        <w:t>Optimization was defined as treatment with iron or other medications prior to surgery to treat anemia.  The median [quartiles] of hemoglobin concentration before optimization for anemia optimized patients was11.4 [9.7,12.6] g/dl</w:t>
      </w:r>
      <w:r w:rsidRPr="002464B1">
        <w:rPr>
          <w:color w:val="FF0000"/>
          <w:vertAlign w:val="superscript"/>
        </w:rPr>
        <w:t xml:space="preserve"> </w:t>
      </w:r>
      <w:r w:rsidRPr="002464B1">
        <w:rPr>
          <w:color w:val="FF0000"/>
        </w:rPr>
        <w:t xml:space="preserve">(n=3956. The median [quartiles] of preoperative hemoglobin concentration measured on the available closest date before surgery was 11.5 [10.3,12.6] g/dl (n=5686) for anemia optimized patients, and 11.9 [11.0,12.9] g/dl (n=8683) for non-optimized.  </w:t>
      </w:r>
    </w:p>
    <w:p w14:paraId="74BFDF07" w14:textId="77777777" w:rsidR="008B4E25" w:rsidRDefault="008B4E25" w:rsidP="00C752B0">
      <w:pPr>
        <w:rPr>
          <w:color w:val="000000" w:themeColor="text1"/>
        </w:rPr>
      </w:pPr>
    </w:p>
    <w:p w14:paraId="047A8AE7" w14:textId="06ADDE27" w:rsidR="00B30B2A" w:rsidRDefault="00B30B2A" w:rsidP="00B30B2A">
      <w:pPr>
        <w:rPr>
          <w:color w:val="000000" w:themeColor="text1"/>
        </w:rPr>
      </w:pPr>
      <w:r>
        <w:rPr>
          <w:color w:val="000000" w:themeColor="text1"/>
        </w:rPr>
        <w:t>2</w:t>
      </w:r>
      <w:r w:rsidRPr="00B30B2A">
        <w:rPr>
          <w:color w:val="000000" w:themeColor="text1"/>
        </w:rPr>
        <w:t>.</w:t>
      </w:r>
      <w:r w:rsidRPr="00B30B2A">
        <w:rPr>
          <w:color w:val="000000" w:themeColor="text1"/>
        </w:rPr>
        <w:tab/>
        <w:t xml:space="preserve">Ng O, Keeler BD, Mishra A, et al. Iron therapy for preoperative </w:t>
      </w:r>
      <w:proofErr w:type="spellStart"/>
      <w:r w:rsidRPr="00B30B2A">
        <w:rPr>
          <w:color w:val="000000" w:themeColor="text1"/>
        </w:rPr>
        <w:t>anaemia</w:t>
      </w:r>
      <w:proofErr w:type="spellEnd"/>
      <w:r w:rsidRPr="00B30B2A">
        <w:rPr>
          <w:color w:val="000000" w:themeColor="text1"/>
        </w:rPr>
        <w:t xml:space="preserve">. The Cochrane database of systematic reviews 2019;12(12):Cd011588. (In </w:t>
      </w:r>
      <w:proofErr w:type="spellStart"/>
      <w:r w:rsidRPr="00B30B2A">
        <w:rPr>
          <w:color w:val="000000" w:themeColor="text1"/>
        </w:rPr>
        <w:t>eng</w:t>
      </w:r>
      <w:proofErr w:type="spellEnd"/>
      <w:r w:rsidRPr="00B30B2A">
        <w:rPr>
          <w:color w:val="000000" w:themeColor="text1"/>
        </w:rPr>
        <w:t>). DOI: 10.1002/14651858.CD011588.pub3.</w:t>
      </w:r>
      <w:r>
        <w:rPr>
          <w:color w:val="000000" w:themeColor="text1"/>
        </w:rPr>
        <w:t xml:space="preserve">  </w:t>
      </w:r>
    </w:p>
    <w:p w14:paraId="027DEE29" w14:textId="77777777" w:rsidR="00B30B2A" w:rsidRPr="00B30B2A" w:rsidRDefault="00B30B2A" w:rsidP="00B30B2A">
      <w:pPr>
        <w:rPr>
          <w:b/>
          <w:bCs/>
          <w:color w:val="000000" w:themeColor="text1"/>
        </w:rPr>
      </w:pPr>
      <w:r w:rsidRPr="00B30B2A">
        <w:rPr>
          <w:b/>
          <w:bCs/>
          <w:color w:val="000000" w:themeColor="text1"/>
        </w:rPr>
        <w:t>Authors' conclusions</w:t>
      </w:r>
    </w:p>
    <w:p w14:paraId="6DF623BC" w14:textId="70A0A89D" w:rsidR="00B30B2A" w:rsidRPr="00B30B2A" w:rsidRDefault="00B30B2A" w:rsidP="00B30B2A">
      <w:pPr>
        <w:rPr>
          <w:color w:val="000000" w:themeColor="text1"/>
        </w:rPr>
      </w:pPr>
      <w:r w:rsidRPr="00B30B2A">
        <w:rPr>
          <w:color w:val="000000" w:themeColor="text1"/>
        </w:rPr>
        <w:t xml:space="preserve">The use of iron therapy for preoperative </w:t>
      </w:r>
      <w:proofErr w:type="spellStart"/>
      <w:r w:rsidRPr="00B30B2A">
        <w:rPr>
          <w:color w:val="000000" w:themeColor="text1"/>
        </w:rPr>
        <w:t>anaemia</w:t>
      </w:r>
      <w:proofErr w:type="spellEnd"/>
      <w:r w:rsidRPr="00B30B2A">
        <w:rPr>
          <w:color w:val="000000" w:themeColor="text1"/>
        </w:rPr>
        <w:t xml:space="preserve"> does not show a clinically significant reduction in the proportion of trial participants who</w:t>
      </w:r>
      <w:r>
        <w:rPr>
          <w:color w:val="000000" w:themeColor="text1"/>
        </w:rPr>
        <w:t xml:space="preserve"> </w:t>
      </w:r>
      <w:r w:rsidRPr="00B30B2A">
        <w:rPr>
          <w:color w:val="000000" w:themeColor="text1"/>
        </w:rPr>
        <w:t>received an allogeneic blood transfusion compared to no iron therapy. Results for intravenous iron are consistent with a greater increase in</w:t>
      </w:r>
      <w:r>
        <w:rPr>
          <w:color w:val="000000" w:themeColor="text1"/>
        </w:rPr>
        <w:t xml:space="preserve"> </w:t>
      </w:r>
      <w:proofErr w:type="spellStart"/>
      <w:r w:rsidRPr="00B30B2A">
        <w:rPr>
          <w:color w:val="000000" w:themeColor="text1"/>
        </w:rPr>
        <w:t>haemoglobin</w:t>
      </w:r>
      <w:proofErr w:type="spellEnd"/>
      <w:r w:rsidRPr="00B30B2A">
        <w:rPr>
          <w:color w:val="000000" w:themeColor="text1"/>
        </w:rPr>
        <w:t xml:space="preserve"> and ferritin when compared to oral iron, but do not provide reliable evidence. These conclusions are drawn from six studies,</w:t>
      </w:r>
      <w:r>
        <w:rPr>
          <w:color w:val="000000" w:themeColor="text1"/>
        </w:rPr>
        <w:t xml:space="preserve"> </w:t>
      </w:r>
      <w:r w:rsidRPr="00B30B2A">
        <w:rPr>
          <w:color w:val="000000" w:themeColor="text1"/>
        </w:rPr>
        <w:t>three of which included very small numbers of participants. Further, well-designed, adequately powered, RCTs are required to determine</w:t>
      </w:r>
      <w:r>
        <w:rPr>
          <w:color w:val="000000" w:themeColor="text1"/>
        </w:rPr>
        <w:t xml:space="preserve"> </w:t>
      </w:r>
      <w:r w:rsidRPr="00B30B2A">
        <w:rPr>
          <w:color w:val="000000" w:themeColor="text1"/>
        </w:rPr>
        <w:t>the true e</w:t>
      </w:r>
      <w:r>
        <w:rPr>
          <w:color w:val="000000" w:themeColor="text1"/>
        </w:rPr>
        <w:t>ff</w:t>
      </w:r>
      <w:r w:rsidRPr="00B30B2A">
        <w:rPr>
          <w:color w:val="000000" w:themeColor="text1"/>
        </w:rPr>
        <w:t xml:space="preserve">ectiveness of iron therapy for preoperative </w:t>
      </w:r>
      <w:proofErr w:type="spellStart"/>
      <w:r w:rsidRPr="00B30B2A">
        <w:rPr>
          <w:color w:val="000000" w:themeColor="text1"/>
        </w:rPr>
        <w:t>anaemia</w:t>
      </w:r>
      <w:proofErr w:type="spellEnd"/>
      <w:r w:rsidRPr="00B30B2A">
        <w:rPr>
          <w:color w:val="000000" w:themeColor="text1"/>
        </w:rPr>
        <w:t xml:space="preserve">. Two studies are currently in </w:t>
      </w:r>
      <w:proofErr w:type="gramStart"/>
      <w:r w:rsidRPr="00B30B2A">
        <w:rPr>
          <w:color w:val="000000" w:themeColor="text1"/>
        </w:rPr>
        <w:t>progress, and</w:t>
      </w:r>
      <w:proofErr w:type="gramEnd"/>
      <w:r w:rsidRPr="00B30B2A">
        <w:rPr>
          <w:color w:val="000000" w:themeColor="text1"/>
        </w:rPr>
        <w:t xml:space="preserve"> will include 1500 </w:t>
      </w:r>
      <w:proofErr w:type="spellStart"/>
      <w:r w:rsidRPr="00B30B2A">
        <w:rPr>
          <w:color w:val="000000" w:themeColor="text1"/>
        </w:rPr>
        <w:t>randomised</w:t>
      </w:r>
      <w:proofErr w:type="spellEnd"/>
      <w:r>
        <w:rPr>
          <w:color w:val="000000" w:themeColor="text1"/>
        </w:rPr>
        <w:t xml:space="preserve"> </w:t>
      </w:r>
      <w:r w:rsidRPr="00B30B2A">
        <w:rPr>
          <w:color w:val="000000" w:themeColor="text1"/>
        </w:rPr>
        <w:t>participants.</w:t>
      </w:r>
      <w:r>
        <w:rPr>
          <w:color w:val="000000" w:themeColor="text1"/>
        </w:rPr>
        <w:t xml:space="preserve">  </w:t>
      </w:r>
    </w:p>
    <w:p w14:paraId="47FF303D" w14:textId="77777777" w:rsidR="008B4E25" w:rsidRDefault="008B4E25" w:rsidP="00C752B0">
      <w:pPr>
        <w:rPr>
          <w:color w:val="000000" w:themeColor="text1"/>
        </w:rPr>
      </w:pPr>
    </w:p>
    <w:p w14:paraId="446498E1" w14:textId="62FFF8CF" w:rsidR="00F640CA" w:rsidRPr="00F640CA" w:rsidRDefault="00BA2211" w:rsidP="00F640CA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F640CA" w:rsidRPr="00F640CA">
        <w:rPr>
          <w:color w:val="000000" w:themeColor="text1"/>
        </w:rPr>
        <w:t>.</w:t>
      </w:r>
      <w:r w:rsidR="00F640CA" w:rsidRPr="00F640CA">
        <w:rPr>
          <w:color w:val="000000" w:themeColor="text1"/>
        </w:rPr>
        <w:tab/>
      </w:r>
      <w:proofErr w:type="spellStart"/>
      <w:r w:rsidR="00F640CA" w:rsidRPr="00F640CA">
        <w:rPr>
          <w:color w:val="000000" w:themeColor="text1"/>
        </w:rPr>
        <w:t>Kaufner</w:t>
      </w:r>
      <w:proofErr w:type="spellEnd"/>
      <w:r w:rsidR="00F640CA" w:rsidRPr="00F640CA">
        <w:rPr>
          <w:color w:val="000000" w:themeColor="text1"/>
        </w:rPr>
        <w:t xml:space="preserve"> L, von Heymann C, </w:t>
      </w:r>
      <w:proofErr w:type="spellStart"/>
      <w:r w:rsidR="00F640CA" w:rsidRPr="00F640CA">
        <w:rPr>
          <w:color w:val="000000" w:themeColor="text1"/>
        </w:rPr>
        <w:t>Henkelmann</w:t>
      </w:r>
      <w:proofErr w:type="spellEnd"/>
      <w:r w:rsidR="00F640CA" w:rsidRPr="00F640CA">
        <w:rPr>
          <w:color w:val="000000" w:themeColor="text1"/>
        </w:rPr>
        <w:t xml:space="preserve"> A, et al. Erythropoietin plus iron versus control treatment including placebo or iron for preoperative </w:t>
      </w:r>
      <w:proofErr w:type="spellStart"/>
      <w:r w:rsidR="00F640CA" w:rsidRPr="00F640CA">
        <w:rPr>
          <w:color w:val="000000" w:themeColor="text1"/>
        </w:rPr>
        <w:t>anaemic</w:t>
      </w:r>
      <w:proofErr w:type="spellEnd"/>
      <w:r w:rsidR="00F640CA" w:rsidRPr="00F640CA">
        <w:rPr>
          <w:color w:val="000000" w:themeColor="text1"/>
        </w:rPr>
        <w:t xml:space="preserve"> adults undergoing non-cardiac surgery. The Cochrane database of systematic reviews 2020;8(8):Cd012451. (In </w:t>
      </w:r>
      <w:proofErr w:type="spellStart"/>
      <w:r w:rsidR="00F640CA" w:rsidRPr="00F640CA">
        <w:rPr>
          <w:color w:val="000000" w:themeColor="text1"/>
        </w:rPr>
        <w:t>eng</w:t>
      </w:r>
      <w:proofErr w:type="spellEnd"/>
      <w:r w:rsidR="00F640CA" w:rsidRPr="00F640CA">
        <w:rPr>
          <w:color w:val="000000" w:themeColor="text1"/>
        </w:rPr>
        <w:t>). DOI: 10.1002/14651858.CD012451.pub2.</w:t>
      </w:r>
    </w:p>
    <w:p w14:paraId="6855E03C" w14:textId="77777777" w:rsidR="00F640CA" w:rsidRPr="00F640CA" w:rsidRDefault="00F640CA" w:rsidP="00F640CA">
      <w:pPr>
        <w:rPr>
          <w:b/>
          <w:bCs/>
          <w:color w:val="000000" w:themeColor="text1"/>
        </w:rPr>
      </w:pPr>
      <w:r w:rsidRPr="00F640CA">
        <w:rPr>
          <w:b/>
          <w:bCs/>
          <w:color w:val="000000" w:themeColor="text1"/>
        </w:rPr>
        <w:t>Authors' conclusions</w:t>
      </w:r>
    </w:p>
    <w:p w14:paraId="095AB119" w14:textId="48F919CC" w:rsidR="00C752B0" w:rsidRPr="009E3FE0" w:rsidRDefault="00F640CA" w:rsidP="00F640CA">
      <w:pPr>
        <w:rPr>
          <w:color w:val="000000" w:themeColor="text1"/>
        </w:rPr>
      </w:pPr>
      <w:r w:rsidRPr="00F640CA">
        <w:rPr>
          <w:color w:val="000000" w:themeColor="text1"/>
        </w:rPr>
        <w:t>Moderate-quality evidence suggests that preoperative</w:t>
      </w:r>
      <w:r>
        <w:rPr>
          <w:color w:val="000000" w:themeColor="text1"/>
        </w:rPr>
        <w:t xml:space="preserve"> erythropoietin</w:t>
      </w:r>
      <w:r w:rsidRPr="00F640CA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proofErr w:type="spellStart"/>
      <w:r w:rsidRPr="00F640CA">
        <w:rPr>
          <w:color w:val="000000" w:themeColor="text1"/>
        </w:rPr>
        <w:t>rHuEPO</w:t>
      </w:r>
      <w:proofErr w:type="spellEnd"/>
      <w:r>
        <w:rPr>
          <w:color w:val="000000" w:themeColor="text1"/>
        </w:rPr>
        <w:t>)</w:t>
      </w:r>
      <w:r w:rsidRPr="00F640CA">
        <w:rPr>
          <w:color w:val="000000" w:themeColor="text1"/>
        </w:rPr>
        <w:t xml:space="preserve"> + iron therapy for </w:t>
      </w:r>
      <w:proofErr w:type="spellStart"/>
      <w:r w:rsidRPr="00F640CA">
        <w:rPr>
          <w:color w:val="000000" w:themeColor="text1"/>
        </w:rPr>
        <w:t>anaemic</w:t>
      </w:r>
      <w:proofErr w:type="spellEnd"/>
      <w:r w:rsidRPr="00F640CA">
        <w:rPr>
          <w:color w:val="000000" w:themeColor="text1"/>
        </w:rPr>
        <w:t xml:space="preserve"> adults prior to non-cardiac surgery reduces the</w:t>
      </w:r>
      <w:r>
        <w:rPr>
          <w:color w:val="000000" w:themeColor="text1"/>
        </w:rPr>
        <w:t xml:space="preserve"> </w:t>
      </w:r>
      <w:r w:rsidRPr="00F640CA">
        <w:rPr>
          <w:color w:val="000000" w:themeColor="text1"/>
        </w:rPr>
        <w:t xml:space="preserve">need for RBC transfusion and, when given at higher doses, increases the </w:t>
      </w:r>
      <w:proofErr w:type="spellStart"/>
      <w:r w:rsidRPr="00F640CA">
        <w:rPr>
          <w:color w:val="000000" w:themeColor="text1"/>
        </w:rPr>
        <w:t>haemoglobin</w:t>
      </w:r>
      <w:proofErr w:type="spellEnd"/>
      <w:r w:rsidRPr="00F640CA">
        <w:rPr>
          <w:color w:val="000000" w:themeColor="text1"/>
        </w:rPr>
        <w:t xml:space="preserve"> concentration preoperatively. The administration</w:t>
      </w:r>
      <w:r>
        <w:rPr>
          <w:color w:val="000000" w:themeColor="text1"/>
        </w:rPr>
        <w:t xml:space="preserve"> </w:t>
      </w:r>
      <w:r w:rsidRPr="00F640CA">
        <w:rPr>
          <w:color w:val="000000" w:themeColor="text1"/>
        </w:rPr>
        <w:t xml:space="preserve">of </w:t>
      </w:r>
      <w:proofErr w:type="spellStart"/>
      <w:r w:rsidRPr="00F640CA">
        <w:rPr>
          <w:color w:val="000000" w:themeColor="text1"/>
        </w:rPr>
        <w:t>rHuEPO</w:t>
      </w:r>
      <w:proofErr w:type="spellEnd"/>
      <w:r w:rsidRPr="00F640CA">
        <w:rPr>
          <w:color w:val="000000" w:themeColor="text1"/>
        </w:rPr>
        <w:t xml:space="preserve"> + iron treatment did not decrease the mean number of units of RBC transfused per patient.</w:t>
      </w:r>
      <w:r>
        <w:rPr>
          <w:color w:val="000000" w:themeColor="text1"/>
        </w:rPr>
        <w:t xml:space="preserve"> </w:t>
      </w:r>
      <w:r w:rsidRPr="00F640CA">
        <w:rPr>
          <w:color w:val="000000" w:themeColor="text1"/>
        </w:rPr>
        <w:t>There were no important di</w:t>
      </w:r>
      <w:r>
        <w:rPr>
          <w:color w:val="000000" w:themeColor="text1"/>
        </w:rPr>
        <w:t>ff</w:t>
      </w:r>
      <w:r w:rsidRPr="00F640CA">
        <w:rPr>
          <w:color w:val="000000" w:themeColor="text1"/>
        </w:rPr>
        <w:t>erences in the risk of adverse events or mortality within 30 days, nor in length of hospital stay. Further, well</w:t>
      </w:r>
      <w:r>
        <w:rPr>
          <w:color w:val="000000" w:themeColor="text1"/>
        </w:rPr>
        <w:t xml:space="preserve"> </w:t>
      </w:r>
      <w:r w:rsidRPr="00F640CA">
        <w:rPr>
          <w:color w:val="000000" w:themeColor="text1"/>
        </w:rPr>
        <w:t>designed,</w:t>
      </w:r>
      <w:r>
        <w:rPr>
          <w:color w:val="000000" w:themeColor="text1"/>
        </w:rPr>
        <w:t xml:space="preserve"> </w:t>
      </w:r>
      <w:r w:rsidRPr="00F640CA">
        <w:rPr>
          <w:color w:val="000000" w:themeColor="text1"/>
        </w:rPr>
        <w:t>adequately powered RCTs are required to estimate the impact of this combined treatment more precisely.</w:t>
      </w:r>
      <w:r>
        <w:rPr>
          <w:color w:val="000000" w:themeColor="text1"/>
        </w:rPr>
        <w:t xml:space="preserve">  </w:t>
      </w:r>
    </w:p>
    <w:p w14:paraId="66D977E0" w14:textId="77777777" w:rsidR="00216DE8" w:rsidRDefault="00216DE8"/>
    <w:p w14:paraId="4C037B57" w14:textId="27B7F9EE" w:rsidR="00516934" w:rsidRPr="00516934" w:rsidRDefault="00516934" w:rsidP="00516934">
      <w:r>
        <w:t>4</w:t>
      </w:r>
      <w:r w:rsidRPr="00516934">
        <w:t>.</w:t>
      </w:r>
      <w:r w:rsidRPr="00516934">
        <w:tab/>
        <w:t>Choi UE, Nicholson RC, Thomas AJ, et al. A Propensity-Matched Cohort Study of Intravenous Iron versus Red Cell Transfusions for Preoperative Iron-Deficiency Anemia. Anesthesia and analgesia 2024;139(5):969-977. DOI: 10.1213/ane.0000000000006974.</w:t>
      </w:r>
    </w:p>
    <w:p w14:paraId="6F535E4C" w14:textId="24D9E48D" w:rsidR="00516934" w:rsidRPr="00516934" w:rsidRDefault="00516934" w:rsidP="00516934">
      <w:r w:rsidRPr="00516934">
        <w:rPr>
          <w:b/>
          <w:bCs/>
        </w:rPr>
        <w:t>RESULTS</w:t>
      </w:r>
      <w:r w:rsidRPr="00516934">
        <w:t>: Compared with RBC transfusion, preoperative IV iron was associated with lower risk</w:t>
      </w:r>
      <w:r>
        <w:t xml:space="preserve"> </w:t>
      </w:r>
      <w:r w:rsidRPr="00516934">
        <w:t>of postoperative mortality (n = 2550/77,179 [3.3%] vs n = 4042/77,179 [5.2%]; relative risk</w:t>
      </w:r>
      <w:r>
        <w:t xml:space="preserve"> </w:t>
      </w:r>
      <w:r w:rsidRPr="00516934">
        <w:t>[RR], 0.63, 95% confidence interval [CI], 0.60</w:t>
      </w:r>
      <w:r w:rsidRPr="00516934">
        <w:rPr>
          <w:rFonts w:hint="eastAsia"/>
        </w:rPr>
        <w:t>–</w:t>
      </w:r>
      <w:r w:rsidRPr="00516934">
        <w:t>0.66), and a lower risk of postoperative composite</w:t>
      </w:r>
      <w:r>
        <w:t xml:space="preserve"> </w:t>
      </w:r>
      <w:r w:rsidRPr="00516934">
        <w:t xml:space="preserve">morbidity (n = </w:t>
      </w:r>
      <w:r w:rsidRPr="00516934">
        <w:lastRenderedPageBreak/>
        <w:t>14,174/77,179 [18.4%] vs n = 18,632/77,179 [24.1%]; RR, 0.76, 95% CI,</w:t>
      </w:r>
      <w:r>
        <w:t xml:space="preserve"> </w:t>
      </w:r>
      <w:r w:rsidRPr="00516934">
        <w:t>0.75</w:t>
      </w:r>
      <w:r w:rsidRPr="00516934">
        <w:rPr>
          <w:rFonts w:hint="eastAsia"/>
        </w:rPr>
        <w:t>–</w:t>
      </w:r>
      <w:r w:rsidRPr="00516934">
        <w:t xml:space="preserve">0.78) (both </w:t>
      </w:r>
      <w:r w:rsidRPr="00516934">
        <w:rPr>
          <w:i/>
          <w:iCs/>
        </w:rPr>
        <w:t xml:space="preserve">P </w:t>
      </w:r>
      <w:r w:rsidRPr="00516934">
        <w:t>= .001 after Bonferroni adjustment). Compared with RBC transfusion, IV</w:t>
      </w:r>
      <w:r>
        <w:t xml:space="preserve"> </w:t>
      </w:r>
      <w:r w:rsidRPr="00516934">
        <w:t xml:space="preserve">iron was also associated with a higher hemoglobin in the 30-day postoperative period (10.1 </w:t>
      </w:r>
      <w:r w:rsidRPr="00516934">
        <w:rPr>
          <w:rFonts w:ascii="Aptos" w:hAnsi="Aptos" w:cs="Aptos"/>
        </w:rPr>
        <w:t></w:t>
      </w:r>
      <w:r w:rsidRPr="00516934">
        <w:t>}</w:t>
      </w:r>
      <w:r>
        <w:t xml:space="preserve"> </w:t>
      </w:r>
      <w:r w:rsidRPr="00516934">
        <w:t xml:space="preserve">1.8 g/dL vs 9.4 </w:t>
      </w:r>
      <w:r w:rsidRPr="00516934">
        <w:rPr>
          <w:rFonts w:ascii="Aptos" w:hAnsi="Aptos" w:cs="Aptos"/>
        </w:rPr>
        <w:t></w:t>
      </w:r>
      <w:r w:rsidRPr="00516934">
        <w:t xml:space="preserve">} 1.7 g/dL, </w:t>
      </w:r>
      <w:r w:rsidRPr="00516934">
        <w:rPr>
          <w:i/>
          <w:iCs/>
        </w:rPr>
        <w:t xml:space="preserve">P </w:t>
      </w:r>
      <w:r w:rsidRPr="00516934">
        <w:t>= .001 after Bonferroni adjustment) and a reduced incidence of</w:t>
      </w:r>
      <w:r>
        <w:t xml:space="preserve"> </w:t>
      </w:r>
      <w:r w:rsidRPr="00516934">
        <w:t>postoperative RBC transfusion (n = 3773/77,179 [4.9%] vs n = 12,629/77,179 [16.4%]; RR,</w:t>
      </w:r>
      <w:r>
        <w:t xml:space="preserve"> </w:t>
      </w:r>
      <w:r w:rsidRPr="00516934">
        <w:t>0.30, 95% CI, 0.29</w:t>
      </w:r>
      <w:r w:rsidRPr="00516934">
        <w:rPr>
          <w:rFonts w:hint="eastAsia"/>
        </w:rPr>
        <w:t>–</w:t>
      </w:r>
      <w:r w:rsidRPr="00516934">
        <w:t>0.31).</w:t>
      </w:r>
      <w:r>
        <w:t xml:space="preserve"> </w:t>
      </w:r>
    </w:p>
    <w:p w14:paraId="48DF598C" w14:textId="53D98DE3" w:rsidR="00F640CA" w:rsidRDefault="00516934" w:rsidP="00516934">
      <w:r w:rsidRPr="00516934">
        <w:rPr>
          <w:b/>
          <w:bCs/>
        </w:rPr>
        <w:t>CONCLUSIONS</w:t>
      </w:r>
      <w:r w:rsidRPr="00516934">
        <w:t xml:space="preserve">: In a risk-adjusted analysis, preoperative </w:t>
      </w:r>
      <w:r>
        <w:t>iron deficiency anemia</w:t>
      </w:r>
      <w:r w:rsidRPr="00516934">
        <w:t xml:space="preserve"> treatment with IV iron compared to</w:t>
      </w:r>
      <w:r>
        <w:t xml:space="preserve"> </w:t>
      </w:r>
      <w:r w:rsidRPr="00516934">
        <w:t>RBC transfusion was associated with a reduction in 30-day postoperative mortality and morbidity,</w:t>
      </w:r>
      <w:r>
        <w:t xml:space="preserve"> </w:t>
      </w:r>
      <w:r w:rsidRPr="00516934">
        <w:t>a higher 30-day postoperative hemoglobin level, and reduced postoperative RBC transfusion.</w:t>
      </w:r>
      <w:r>
        <w:t xml:space="preserve"> </w:t>
      </w:r>
      <w:r w:rsidRPr="00516934">
        <w:t>This evidence represents a promising opportunity to improve patient outcomes and reduce</w:t>
      </w:r>
      <w:r>
        <w:t xml:space="preserve"> </w:t>
      </w:r>
      <w:r w:rsidRPr="00516934">
        <w:t xml:space="preserve">blood transfusions and their associated risk and costs. </w:t>
      </w:r>
    </w:p>
    <w:p w14:paraId="65560944" w14:textId="77777777" w:rsidR="00516934" w:rsidRDefault="00516934" w:rsidP="00516934"/>
    <w:p w14:paraId="30C986ED" w14:textId="565F319A" w:rsidR="000820D7" w:rsidRPr="000820D7" w:rsidRDefault="000820D7" w:rsidP="000820D7">
      <w:r>
        <w:t>5</w:t>
      </w:r>
      <w:r w:rsidRPr="000820D7">
        <w:t>.</w:t>
      </w:r>
      <w:r w:rsidRPr="000820D7">
        <w:tab/>
      </w:r>
      <w:proofErr w:type="spellStart"/>
      <w:r w:rsidRPr="000820D7">
        <w:t>Kangaspunta</w:t>
      </w:r>
      <w:proofErr w:type="spellEnd"/>
      <w:r w:rsidRPr="000820D7">
        <w:t xml:space="preserve"> M, </w:t>
      </w:r>
      <w:proofErr w:type="spellStart"/>
      <w:r w:rsidRPr="000820D7">
        <w:t>Mäkijärvi</w:t>
      </w:r>
      <w:proofErr w:type="spellEnd"/>
      <w:r w:rsidRPr="000820D7">
        <w:t xml:space="preserve"> J, </w:t>
      </w:r>
      <w:proofErr w:type="spellStart"/>
      <w:r w:rsidRPr="000820D7">
        <w:t>Koskensalo</w:t>
      </w:r>
      <w:proofErr w:type="spellEnd"/>
      <w:r w:rsidRPr="000820D7">
        <w:t xml:space="preserve"> S, et al. Preoperative intravenous iron treatment reduces postoperative complications and postoperative anemia in preoperatively anemic patients with colon carcinoma. Int J Colorectal Dis 2022;37(2):449-455. DOI: 10.1007/s00384-021-04080-9.</w:t>
      </w:r>
    </w:p>
    <w:p w14:paraId="2BD2064A" w14:textId="752B443B" w:rsidR="00516934" w:rsidRDefault="00091C7C" w:rsidP="00091C7C">
      <w:r w:rsidRPr="00091C7C">
        <w:rPr>
          <w:b/>
          <w:bCs/>
        </w:rPr>
        <w:t>Methods</w:t>
      </w:r>
      <w:r>
        <w:t>:</w:t>
      </w:r>
      <w:r w:rsidRPr="00091C7C">
        <w:t xml:space="preserve"> In this retrospective cohort study, data were collected from medical records of all 549 colon carcinoma patients</w:t>
      </w:r>
      <w:r>
        <w:t xml:space="preserve"> </w:t>
      </w:r>
      <w:r w:rsidRPr="00091C7C">
        <w:t>who underwent a colon resection in Helsinki University Hospital during the years 2017 and 2018. The patients were divided</w:t>
      </w:r>
      <w:r>
        <w:t xml:space="preserve"> </w:t>
      </w:r>
      <w:r w:rsidRPr="00091C7C">
        <w:t>into two cohorts: one with anemic patients treated with preoperative intravenous iron supplementation therapy (180 patients)</w:t>
      </w:r>
      <w:r>
        <w:t xml:space="preserve"> </w:t>
      </w:r>
      <w:r w:rsidRPr="00091C7C">
        <w:t>and one with anemic patients without preoperative intravenous iron supplementation therapy (138 patients). Non-anemic</w:t>
      </w:r>
      <w:r>
        <w:t xml:space="preserve"> </w:t>
      </w:r>
      <w:r w:rsidRPr="00091C7C">
        <w:t>patients and patients requiring emergency surgery were excluded (231 patients).</w:t>
      </w:r>
      <w:r>
        <w:br/>
      </w:r>
      <w:r w:rsidRPr="00091C7C">
        <w:rPr>
          <w:b/>
          <w:bCs/>
        </w:rPr>
        <w:t>Results</w:t>
      </w:r>
      <w:r>
        <w:t>:</w:t>
      </w:r>
      <w:r w:rsidRPr="00091C7C">
        <w:t xml:space="preserve"> Patients treated with intravenous iron had less postoperative complications (33.9% vs. 45.9%, </w:t>
      </w:r>
      <w:r w:rsidRPr="00091C7C">
        <w:rPr>
          <w:i/>
          <w:iCs/>
        </w:rPr>
        <w:t xml:space="preserve">p </w:t>
      </w:r>
      <w:r w:rsidRPr="00091C7C">
        <w:t>= 0.045) and a lower</w:t>
      </w:r>
      <w:r>
        <w:t xml:space="preserve"> </w:t>
      </w:r>
      <w:r w:rsidRPr="00091C7C">
        <w:t xml:space="preserve">prevalence of anemia at 1 month after surgery (38.7% vs. 65.3%, </w:t>
      </w:r>
      <w:r w:rsidRPr="00091C7C">
        <w:rPr>
          <w:i/>
          <w:iCs/>
        </w:rPr>
        <w:t xml:space="preserve">p </w:t>
      </w:r>
      <w:r w:rsidRPr="00091C7C">
        <w:t>&lt; 0.01) when compared with patients without preoperative</w:t>
      </w:r>
      <w:r>
        <w:t xml:space="preserve"> </w:t>
      </w:r>
      <w:r w:rsidRPr="00091C7C">
        <w:t>iv iron treatment. No difference was found in the amount of red blood cell transfusions, length of stay, or mortality between</w:t>
      </w:r>
      <w:r>
        <w:t xml:space="preserve"> </w:t>
      </w:r>
      <w:r w:rsidRPr="00091C7C">
        <w:t>the groups.</w:t>
      </w:r>
      <w:r>
        <w:t xml:space="preserve">  </w:t>
      </w:r>
    </w:p>
    <w:p w14:paraId="5C2D9DC2" w14:textId="77777777" w:rsidR="00091C7C" w:rsidRDefault="00091C7C" w:rsidP="00091C7C"/>
    <w:p w14:paraId="0A286C76" w14:textId="7F6065A7" w:rsidR="00960DCA" w:rsidRPr="00960DCA" w:rsidRDefault="00960DCA" w:rsidP="00960DCA">
      <w:r>
        <w:t>6</w:t>
      </w:r>
      <w:r w:rsidRPr="00960DCA">
        <w:t>.</w:t>
      </w:r>
      <w:r w:rsidRPr="00960DCA">
        <w:tab/>
      </w:r>
      <w:proofErr w:type="spellStart"/>
      <w:r w:rsidRPr="00960DCA">
        <w:t>Laso</w:t>
      </w:r>
      <w:proofErr w:type="spellEnd"/>
      <w:r w:rsidRPr="00960DCA">
        <w:t xml:space="preserve">-Morales M, </w:t>
      </w:r>
      <w:proofErr w:type="spellStart"/>
      <w:r w:rsidRPr="00960DCA">
        <w:t>Jericó</w:t>
      </w:r>
      <w:proofErr w:type="spellEnd"/>
      <w:r w:rsidRPr="00960DCA">
        <w:t xml:space="preserve"> C, Gómez-Ramírez S, et al. Preoperative management of colorectal cancer-induced iron deficiency anemia in clinical practice: data from a large observational cohort. Transfusion 2017;57(12):3040-3048. DOI: 10.1111/trf.14278.</w:t>
      </w:r>
    </w:p>
    <w:p w14:paraId="61659DFC" w14:textId="1A9344F4" w:rsidR="00091C7C" w:rsidRDefault="00450D6B" w:rsidP="00450D6B">
      <w:r w:rsidRPr="00450D6B">
        <w:rPr>
          <w:b/>
          <w:bCs/>
        </w:rPr>
        <w:t>STUDY DESIGN AND METHODS</w:t>
      </w:r>
      <w:r w:rsidRPr="00450D6B">
        <w:t>: This was a</w:t>
      </w:r>
      <w:r>
        <w:t xml:space="preserve"> </w:t>
      </w:r>
      <w:r w:rsidRPr="00450D6B">
        <w:t xml:space="preserve">retrospective analysis of consecutive </w:t>
      </w:r>
      <w:r>
        <w:t>colorectal cancer</w:t>
      </w:r>
      <w:r w:rsidRPr="00450D6B">
        <w:t xml:space="preserve"> resections at</w:t>
      </w:r>
      <w:r>
        <w:t xml:space="preserve"> </w:t>
      </w:r>
      <w:r w:rsidRPr="00450D6B">
        <w:t>two Spanish centers (January 2012 to December 2013).</w:t>
      </w:r>
      <w:r>
        <w:t xml:space="preserve"> </w:t>
      </w:r>
      <w:r w:rsidRPr="00450D6B">
        <w:t>Preoperative anemia was defined as a hemoglobin (Hb)</w:t>
      </w:r>
      <w:r>
        <w:t xml:space="preserve"> </w:t>
      </w:r>
      <w:r w:rsidRPr="00450D6B">
        <w:t>level of less than 13 g/dL and treated with intravenous</w:t>
      </w:r>
      <w:r>
        <w:t xml:space="preserve"> </w:t>
      </w:r>
      <w:r w:rsidRPr="00450D6B">
        <w:t>iron (IVI) or standard care (oral iron or no iron). Red</w:t>
      </w:r>
      <w:r>
        <w:t xml:space="preserve"> </w:t>
      </w:r>
      <w:r w:rsidRPr="00450D6B">
        <w:t>blood cell transfusion (RBCT) requirement was the</w:t>
      </w:r>
      <w:r>
        <w:t xml:space="preserve"> </w:t>
      </w:r>
      <w:r w:rsidRPr="00450D6B">
        <w:t>primary outcome variable. Postoperative infection rate</w:t>
      </w:r>
      <w:r>
        <w:t xml:space="preserve"> </w:t>
      </w:r>
      <w:r w:rsidRPr="00450D6B">
        <w:t>and length of hospital stay (LOS) were secondary</w:t>
      </w:r>
      <w:r>
        <w:t xml:space="preserve"> </w:t>
      </w:r>
      <w:r w:rsidRPr="00450D6B">
        <w:t>outcome variables. Patients were managed with a</w:t>
      </w:r>
      <w:r>
        <w:t xml:space="preserve"> </w:t>
      </w:r>
      <w:r w:rsidRPr="00450D6B">
        <w:t>restrictive transfusion trigger (Hb&lt;8 g/dL). Infection was</w:t>
      </w:r>
      <w:r>
        <w:t xml:space="preserve"> </w:t>
      </w:r>
      <w:r w:rsidRPr="00450D6B">
        <w:t>diagnosed clinically and confirmed by laboratory,</w:t>
      </w:r>
      <w:r>
        <w:t xml:space="preserve"> </w:t>
      </w:r>
      <w:r w:rsidRPr="00450D6B">
        <w:t>microbiologic, and/or radiologic evidence.</w:t>
      </w:r>
      <w:r>
        <w:t xml:space="preserve">  </w:t>
      </w:r>
      <w:r>
        <w:br/>
      </w:r>
      <w:r w:rsidRPr="00450D6B">
        <w:rPr>
          <w:b/>
          <w:bCs/>
        </w:rPr>
        <w:t>RESULTS</w:t>
      </w:r>
      <w:r w:rsidRPr="00450D6B">
        <w:t>: Overall, 322 of 571 patients (56%) presented</w:t>
      </w:r>
      <w:r>
        <w:t xml:space="preserve"> </w:t>
      </w:r>
      <w:r w:rsidRPr="00450D6B">
        <w:t xml:space="preserve">with anemia: 232 received IVI and 90 standard </w:t>
      </w:r>
      <w:proofErr w:type="gramStart"/>
      <w:r w:rsidRPr="00450D6B">
        <w:t>care</w:t>
      </w:r>
      <w:proofErr w:type="gramEnd"/>
      <w:r w:rsidRPr="00450D6B">
        <w:t>.</w:t>
      </w:r>
      <w:r>
        <w:t xml:space="preserve"> </w:t>
      </w:r>
      <w:r w:rsidRPr="00450D6B">
        <w:t>There were differences in RBCT</w:t>
      </w:r>
      <w:r>
        <w:t xml:space="preserve"> </w:t>
      </w:r>
      <w:r w:rsidRPr="00450D6B">
        <w:t>rate between no anemia</w:t>
      </w:r>
      <w:r>
        <w:t xml:space="preserve"> </w:t>
      </w:r>
      <w:r w:rsidRPr="00450D6B">
        <w:t>and anemia (2% vs. 16%; p&lt;0.01), but not in</w:t>
      </w:r>
      <w:r>
        <w:t xml:space="preserve"> </w:t>
      </w:r>
      <w:r w:rsidRPr="00450D6B">
        <w:t>postoperative infections (19% vs. 22%; p5NS) or LOS.</w:t>
      </w:r>
      <w:r>
        <w:t xml:space="preserve">  </w:t>
      </w:r>
      <w:r w:rsidRPr="00450D6B">
        <w:t>Compared to those on standard care, anemic patients on</w:t>
      </w:r>
      <w:r>
        <w:t xml:space="preserve"> </w:t>
      </w:r>
      <w:r w:rsidRPr="00450D6B">
        <w:t>IVI presented with lower Hb (10.8 g/dL vs. 12.0 g/dL;</w:t>
      </w:r>
      <w:r>
        <w:t xml:space="preserve"> </w:t>
      </w:r>
      <w:r w:rsidRPr="00450D6B">
        <w:t>p&lt;0.001) at baseline, but similar Hb on day of surgery</w:t>
      </w:r>
      <w:r>
        <w:t xml:space="preserve"> </w:t>
      </w:r>
      <w:r w:rsidRPr="00450D6B">
        <w:t xml:space="preserve">and Postoperative Day 30. There were </w:t>
      </w:r>
      <w:proofErr w:type="gramStart"/>
      <w:r w:rsidRPr="00450D6B">
        <w:t>no between-group</w:t>
      </w:r>
      <w:proofErr w:type="gramEnd"/>
      <w:r>
        <w:t xml:space="preserve"> </w:t>
      </w:r>
      <w:r w:rsidRPr="00450D6B">
        <w:t xml:space="preserve">differences in </w:t>
      </w:r>
      <w:r w:rsidRPr="00450D6B">
        <w:lastRenderedPageBreak/>
        <w:t>RBCT</w:t>
      </w:r>
      <w:r>
        <w:t xml:space="preserve"> </w:t>
      </w:r>
      <w:r w:rsidRPr="00450D6B">
        <w:t>rates (16% vs. 17%; p5NS), but</w:t>
      </w:r>
      <w:r>
        <w:t xml:space="preserve"> </w:t>
      </w:r>
      <w:r w:rsidRPr="00450D6B">
        <w:t>infection rates were lower among IVI-treated patients</w:t>
      </w:r>
      <w:r>
        <w:t xml:space="preserve"> </w:t>
      </w:r>
      <w:r w:rsidRPr="00450D6B">
        <w:t>(18% vs. 29%; p&lt;0.05). No relevant IVI-related side</w:t>
      </w:r>
      <w:r>
        <w:t xml:space="preserve"> </w:t>
      </w:r>
      <w:r w:rsidRPr="00450D6B">
        <w:t>effects were recorded.</w:t>
      </w:r>
      <w:r>
        <w:t xml:space="preserve">  </w:t>
      </w:r>
    </w:p>
    <w:p w14:paraId="210B4FBE" w14:textId="77777777" w:rsidR="00450D6B" w:rsidRDefault="00450D6B" w:rsidP="00450D6B"/>
    <w:p w14:paraId="5F1866DD" w14:textId="793DB05D" w:rsidR="006E663E" w:rsidRPr="006E663E" w:rsidRDefault="006E663E" w:rsidP="006E663E">
      <w:r>
        <w:t>7</w:t>
      </w:r>
      <w:r w:rsidRPr="006E663E">
        <w:t>.</w:t>
      </w:r>
      <w:r w:rsidRPr="006E663E">
        <w:tab/>
        <w:t xml:space="preserve">Ploug M, </w:t>
      </w:r>
      <w:proofErr w:type="spellStart"/>
      <w:r w:rsidRPr="006E663E">
        <w:t>Kroijer</w:t>
      </w:r>
      <w:proofErr w:type="spellEnd"/>
      <w:r w:rsidRPr="006E663E">
        <w:t xml:space="preserve"> R, Qvist N, Knudsen T. Preoperative Intravenous Iron Treatment in Colorectal Cancer: Experience From Clinical Practice. The Journal of surgical research 2022;277:37-43. DOI: 10.1016/j.jss.2022.03.004.</w:t>
      </w:r>
    </w:p>
    <w:p w14:paraId="53E7AB1E" w14:textId="7AEB917B" w:rsidR="00450D6B" w:rsidRDefault="006E663E" w:rsidP="006E663E">
      <w:r w:rsidRPr="006E663E">
        <w:rPr>
          <w:b/>
          <w:bCs/>
        </w:rPr>
        <w:t>Methods</w:t>
      </w:r>
      <w:r w:rsidRPr="006E663E">
        <w:t>: A registry-based cohort study. Surgical colorectal cancer patients with iron deficiency</w:t>
      </w:r>
      <w:r>
        <w:t xml:space="preserve"> </w:t>
      </w:r>
      <w:r w:rsidRPr="006E663E">
        <w:t>anemia were compared after division into two groups; those who preoperatively</w:t>
      </w:r>
      <w:r>
        <w:t xml:space="preserve"> </w:t>
      </w:r>
      <w:r w:rsidRPr="006E663E">
        <w:t xml:space="preserve">received </w:t>
      </w:r>
      <w:r>
        <w:t>IV</w:t>
      </w:r>
      <w:r w:rsidRPr="006E663E">
        <w:t xml:space="preserve"> iron treatment and those who did not. Primary outcomes were preoperative</w:t>
      </w:r>
      <w:r>
        <w:t xml:space="preserve"> </w:t>
      </w:r>
      <w:r w:rsidRPr="006E663E">
        <w:t>changes in Hb and the difference in perioperative red blood cell transfusion (RBCT) rates.</w:t>
      </w:r>
      <w:r>
        <w:t xml:space="preserve">  </w:t>
      </w:r>
      <w:r w:rsidRPr="006E663E">
        <w:t>Postoperative complications and mortality rates were analyzed and a descriptive analysis</w:t>
      </w:r>
      <w:r>
        <w:t xml:space="preserve"> </w:t>
      </w:r>
      <w:r w:rsidRPr="006E663E">
        <w:t>on what triggered blood transfusions were performed.</w:t>
      </w:r>
      <w:r>
        <w:t xml:space="preserve">  </w:t>
      </w:r>
      <w:r>
        <w:br/>
      </w:r>
      <w:r w:rsidRPr="006E663E">
        <w:rPr>
          <w:b/>
          <w:bCs/>
        </w:rPr>
        <w:t>Results</w:t>
      </w:r>
      <w:r w:rsidRPr="006E663E">
        <w:t xml:space="preserve">: A total of 170 patients were included. Of these, 122 had received preoperative </w:t>
      </w:r>
      <w:r>
        <w:t>IV</w:t>
      </w:r>
      <w:r w:rsidRPr="006E663E">
        <w:t xml:space="preserve"> iron</w:t>
      </w:r>
      <w:r>
        <w:t xml:space="preserve"> </w:t>
      </w:r>
      <w:r w:rsidRPr="006E663E">
        <w:t>treatment and 48 had not. The perioperative transfusion rate was 45% (55/122) in the treatment</w:t>
      </w:r>
      <w:r>
        <w:t xml:space="preserve"> </w:t>
      </w:r>
      <w:r w:rsidRPr="006E663E">
        <w:t>group and 40% (19/48) in the control group (non-significant difference). The preoperative</w:t>
      </w:r>
      <w:r>
        <w:t xml:space="preserve"> </w:t>
      </w:r>
      <w:r w:rsidRPr="006E663E">
        <w:t>changes in Hb levels were not different between the two groups. Transfusion practice</w:t>
      </w:r>
      <w:r>
        <w:t xml:space="preserve"> </w:t>
      </w:r>
      <w:r w:rsidRPr="006E663E">
        <w:t>appeared more liberal and preceded by higher Hb levels that was guided by the National</w:t>
      </w:r>
      <w:r>
        <w:t xml:space="preserve"> </w:t>
      </w:r>
      <w:r w:rsidRPr="006E663E">
        <w:t xml:space="preserve">transfusion guideline. </w:t>
      </w:r>
      <w:r>
        <w:t>IV</w:t>
      </w:r>
      <w:r w:rsidRPr="006E663E">
        <w:t xml:space="preserve"> iron treated patients had a higher rate of postoperative complications.</w:t>
      </w:r>
      <w:r>
        <w:t xml:space="preserve">  </w:t>
      </w:r>
      <w:r w:rsidRPr="006E663E">
        <w:t>No differences were found on length of stay (LOS) or postoperative mortality.</w:t>
      </w:r>
      <w:r>
        <w:t xml:space="preserve">  </w:t>
      </w:r>
      <w:r w:rsidRPr="006E663E">
        <w:t xml:space="preserve">Conclusions: Preoperative </w:t>
      </w:r>
      <w:r>
        <w:t>IV</w:t>
      </w:r>
      <w:r w:rsidRPr="006E663E">
        <w:t xml:space="preserve"> iron treatment was neither associated with a rise in Hb concentrations</w:t>
      </w:r>
      <w:r>
        <w:t xml:space="preserve"> </w:t>
      </w:r>
      <w:r w:rsidRPr="006E663E">
        <w:t>at the time of surgery, nor with a reduction in the likelihood of receiving</w:t>
      </w:r>
      <w:r>
        <w:t xml:space="preserve"> </w:t>
      </w:r>
      <w:r w:rsidRPr="006E663E">
        <w:t>perioperative red blood cell transfusions (RBCT) in colorectal cancer (CRC) patients with</w:t>
      </w:r>
      <w:r>
        <w:t xml:space="preserve"> </w:t>
      </w:r>
      <w:r w:rsidRPr="006E663E">
        <w:t>iron deficiency anemia.</w:t>
      </w:r>
      <w:r>
        <w:t xml:space="preserve">  </w:t>
      </w:r>
    </w:p>
    <w:p w14:paraId="685B50EB" w14:textId="77777777" w:rsidR="006E663E" w:rsidRDefault="006E663E" w:rsidP="006E663E"/>
    <w:p w14:paraId="329C9A05" w14:textId="61A8AFEB" w:rsidR="006E663E" w:rsidRPr="006E663E" w:rsidRDefault="006E663E" w:rsidP="006E663E">
      <w:r>
        <w:t>8</w:t>
      </w:r>
      <w:r w:rsidRPr="006E663E">
        <w:t>.</w:t>
      </w:r>
      <w:r w:rsidRPr="006E663E">
        <w:tab/>
        <w:t xml:space="preserve">Richards T, </w:t>
      </w:r>
      <w:proofErr w:type="spellStart"/>
      <w:r w:rsidRPr="006E663E">
        <w:t>Baikady</w:t>
      </w:r>
      <w:proofErr w:type="spellEnd"/>
      <w:r w:rsidRPr="006E663E">
        <w:t xml:space="preserve"> RR, Clevenger B, et al. Preoperative intravenous iron for </w:t>
      </w:r>
      <w:proofErr w:type="spellStart"/>
      <w:r w:rsidRPr="006E663E">
        <w:t>anaemia</w:t>
      </w:r>
      <w:proofErr w:type="spellEnd"/>
      <w:r w:rsidRPr="006E663E">
        <w:t xml:space="preserve"> in elective major open abdominal surgery: the PREVENTT RCT. Health Technol Assess 2021;25(11):1-58. DOI: 10.3310/hta25110.</w:t>
      </w:r>
    </w:p>
    <w:p w14:paraId="390726A2" w14:textId="7F2890F3" w:rsidR="006E663E" w:rsidRDefault="006F33FF" w:rsidP="006F33FF">
      <w:r w:rsidRPr="006F33FF">
        <w:rPr>
          <w:b/>
          <w:bCs/>
        </w:rPr>
        <w:t>Design</w:t>
      </w:r>
      <w:r w:rsidRPr="006F33FF">
        <w:t xml:space="preserve">: A </w:t>
      </w:r>
      <w:proofErr w:type="spellStart"/>
      <w:r w:rsidRPr="006F33FF">
        <w:t>multicentre</w:t>
      </w:r>
      <w:proofErr w:type="spellEnd"/>
      <w:r w:rsidRPr="006F33FF">
        <w:t xml:space="preserve">, double-blinded, </w:t>
      </w:r>
      <w:proofErr w:type="spellStart"/>
      <w:r w:rsidRPr="006F33FF">
        <w:t>randomised</w:t>
      </w:r>
      <w:proofErr w:type="spellEnd"/>
      <w:r w:rsidRPr="006F33FF">
        <w:t xml:space="preserve">, controlled, Phase III clinical trial, with 1 : 1 </w:t>
      </w:r>
      <w:proofErr w:type="spellStart"/>
      <w:r w:rsidRPr="006F33FF">
        <w:t>randomisation</w:t>
      </w:r>
      <w:proofErr w:type="spellEnd"/>
      <w:r>
        <w:t xml:space="preserve"> </w:t>
      </w:r>
      <w:r w:rsidRPr="006F33FF">
        <w:t xml:space="preserve">comparing placebo (normal saline) </w:t>
      </w:r>
      <w:proofErr w:type="gramStart"/>
      <w:r w:rsidRPr="006F33FF">
        <w:t>with intravenous iron (</w:t>
      </w:r>
      <w:proofErr w:type="gramEnd"/>
      <w:r w:rsidRPr="006F33FF">
        <w:t xml:space="preserve">intravenous ferric </w:t>
      </w:r>
      <w:proofErr w:type="spellStart"/>
      <w:r w:rsidRPr="006F33FF">
        <w:t>carboxymaltose</w:t>
      </w:r>
      <w:proofErr w:type="spellEnd"/>
      <w:r w:rsidRPr="006F33FF">
        <w:t xml:space="preserve"> 1000 mg).</w:t>
      </w:r>
      <w:r>
        <w:t xml:space="preserve">  </w:t>
      </w:r>
      <w:proofErr w:type="spellStart"/>
      <w:r w:rsidRPr="006F33FF">
        <w:t>Randomisation</w:t>
      </w:r>
      <w:proofErr w:type="spellEnd"/>
      <w:r w:rsidRPr="006F33FF">
        <w:t xml:space="preserve"> and treatment allocation were by a secure web-based service.</w:t>
      </w:r>
      <w:r>
        <w:t xml:space="preserve"> </w:t>
      </w:r>
      <w:r>
        <w:br/>
      </w:r>
      <w:r w:rsidRPr="006F33FF">
        <w:rPr>
          <w:b/>
          <w:bCs/>
        </w:rPr>
        <w:t>Setting</w:t>
      </w:r>
      <w:r w:rsidRPr="006F33FF">
        <w:t>: The study was conducted across 46 hospitals in England, Scotland and Wales between</w:t>
      </w:r>
      <w:r>
        <w:t xml:space="preserve"> </w:t>
      </w:r>
      <w:r w:rsidRPr="006F33FF">
        <w:t>September 2013 and September 2018.</w:t>
      </w:r>
      <w:r>
        <w:t xml:space="preserve">  </w:t>
      </w:r>
      <w:r>
        <w:br/>
      </w:r>
      <w:r w:rsidRPr="006F33FF">
        <w:rPr>
          <w:b/>
          <w:bCs/>
        </w:rPr>
        <w:t>Participants</w:t>
      </w:r>
      <w:r w:rsidRPr="006F33FF">
        <w:t>: Patients aged &gt; 18 years, undergoing elective major open abdominal surgery, with</w:t>
      </w:r>
      <w:r>
        <w:t xml:space="preserve"> </w:t>
      </w:r>
      <w:proofErr w:type="spellStart"/>
      <w:r w:rsidRPr="006F33FF">
        <w:t>anaemia</w:t>
      </w:r>
      <w:proofErr w:type="spellEnd"/>
      <w:r w:rsidRPr="006F33FF">
        <w:t xml:space="preserve"> [Hb level of &gt; 90 g/l and &lt; 120 g/l (female patients) and &lt; 130 g/l (male patients)] who could</w:t>
      </w:r>
      <w:r>
        <w:t xml:space="preserve"> </w:t>
      </w:r>
      <w:r w:rsidRPr="006F33FF">
        <w:t xml:space="preserve">undergo </w:t>
      </w:r>
      <w:proofErr w:type="spellStart"/>
      <w:r w:rsidRPr="006F33FF">
        <w:t>randomisation</w:t>
      </w:r>
      <w:proofErr w:type="spellEnd"/>
      <w:r w:rsidRPr="006F33FF">
        <w:t xml:space="preserve"> and treatment 10–42 days before their operation.</w:t>
      </w:r>
      <w:r>
        <w:t xml:space="preserve">  </w:t>
      </w:r>
      <w:r>
        <w:br/>
      </w:r>
      <w:r w:rsidRPr="006F33FF">
        <w:rPr>
          <w:b/>
          <w:bCs/>
        </w:rPr>
        <w:t>Intervention</w:t>
      </w:r>
      <w:r w:rsidRPr="006F33FF">
        <w:t>: Double-blinded study comparing placebo of normal saline with 1000 mg of ferric</w:t>
      </w:r>
      <w:r>
        <w:t xml:space="preserve"> </w:t>
      </w:r>
      <w:proofErr w:type="spellStart"/>
      <w:r w:rsidRPr="006F33FF">
        <w:t>carboxymaltose</w:t>
      </w:r>
      <w:proofErr w:type="spellEnd"/>
      <w:r w:rsidRPr="006F33FF">
        <w:t xml:space="preserve"> administered 10–42 days prior to surgery.</w:t>
      </w:r>
      <w:r>
        <w:t xml:space="preserve">  </w:t>
      </w:r>
      <w:r>
        <w:br/>
      </w:r>
      <w:r w:rsidRPr="006F33FF">
        <w:rPr>
          <w:b/>
          <w:bCs/>
        </w:rPr>
        <w:t>Results</w:t>
      </w:r>
      <w:r w:rsidRPr="006F33FF">
        <w:t xml:space="preserve">: A total of 487 patients were </w:t>
      </w:r>
      <w:proofErr w:type="spellStart"/>
      <w:r w:rsidRPr="006F33FF">
        <w:t>randomised</w:t>
      </w:r>
      <w:proofErr w:type="spellEnd"/>
      <w:r w:rsidRPr="006F33FF">
        <w:t xml:space="preserve"> (243 given placebo and 244 given intravenous iron),</w:t>
      </w:r>
      <w:r>
        <w:t xml:space="preserve">  </w:t>
      </w:r>
      <w:r w:rsidRPr="006F33FF">
        <w:t>of whom 474 completed the trial and provided data for the analysis of the co-primary end points.</w:t>
      </w:r>
      <w:r>
        <w:t xml:space="preserve">  </w:t>
      </w:r>
      <w:r w:rsidRPr="006F33FF">
        <w:t>The use of intravenous iron increased preoperative Hb levels (mean difference 4.7 g/l, 95% confidence</w:t>
      </w:r>
      <w:r>
        <w:t xml:space="preserve"> </w:t>
      </w:r>
      <w:r w:rsidRPr="006F33FF">
        <w:t xml:space="preserve">interval 2.7 to 6.8 g/l; p &lt; 0.0001), but had no effect compared with placebo on risk of blood </w:t>
      </w:r>
      <w:r w:rsidRPr="006F33FF">
        <w:lastRenderedPageBreak/>
        <w:t>transfusion</w:t>
      </w:r>
      <w:r>
        <w:t xml:space="preserve"> </w:t>
      </w:r>
      <w:r w:rsidRPr="006F33FF">
        <w:t>or death (risk ratio 1.03, 95% confidence interval 0.78 to 1.37; p = 0.84; absolute risk difference +0.8%,</w:t>
      </w:r>
      <w:r>
        <w:t xml:space="preserve"> </w:t>
      </w:r>
      <w:r w:rsidRPr="006F33FF">
        <w:t>95% confidence interval –7.3% to 9.0%), or rates of blood transfusion (rate ratio 0.98, 95% confidence</w:t>
      </w:r>
      <w:r>
        <w:t xml:space="preserve"> </w:t>
      </w:r>
      <w:r w:rsidRPr="006F33FF">
        <w:t>interval 0.68 to 1.43; p = 0.93; absolute rate difference 0.00, 95% confidence interval –0.14 to 0.15).</w:t>
      </w:r>
      <w:r>
        <w:t xml:space="preserve">  </w:t>
      </w:r>
      <w:r w:rsidRPr="006F33FF">
        <w:t>There was no difference in postoperative complications or hospital stay. The intravenous iron group had</w:t>
      </w:r>
      <w:r>
        <w:t xml:space="preserve"> </w:t>
      </w:r>
      <w:r w:rsidRPr="006F33FF">
        <w:t>higher Hb levels at the 8-week follow-up (difference in mean 10.7 g/l, 95% confidence interval 7.8 to</w:t>
      </w:r>
      <w:r>
        <w:t xml:space="preserve"> </w:t>
      </w:r>
      <w:r w:rsidRPr="006F33FF">
        <w:t>13.7 g/l; p &lt; 0.0001). There were a total of 71 re-admissions to hospital for postoperative complications</w:t>
      </w:r>
      <w:r>
        <w:t xml:space="preserve"> </w:t>
      </w:r>
      <w:r w:rsidRPr="006F33FF">
        <w:t>in the placebo group, compared with 38 re-admissions in the intravenous iron group (rate ratio 0.54,</w:t>
      </w:r>
      <w:r>
        <w:t xml:space="preserve"> </w:t>
      </w:r>
      <w:r w:rsidRPr="006F33FF">
        <w:t>95% confidence interval 0.34 to 0.85; p = 0.009). There were no differences between the groups in</w:t>
      </w:r>
      <w:r>
        <w:t xml:space="preserve"> </w:t>
      </w:r>
      <w:r w:rsidRPr="006F33FF">
        <w:t>terms of mortality (two per group at 30 days post operation) or in any of the prespecified safety end</w:t>
      </w:r>
      <w:r>
        <w:t xml:space="preserve"> </w:t>
      </w:r>
      <w:r w:rsidRPr="006F33FF">
        <w:t>points or serious adverse events.</w:t>
      </w:r>
      <w:r>
        <w:t xml:space="preserve">  </w:t>
      </w:r>
      <w:r>
        <w:br/>
      </w:r>
      <w:r w:rsidRPr="006F33FF">
        <w:rPr>
          <w:b/>
          <w:bCs/>
        </w:rPr>
        <w:t>Conclusions</w:t>
      </w:r>
      <w:r w:rsidRPr="006F33FF">
        <w:t xml:space="preserve">: In patients with </w:t>
      </w:r>
      <w:proofErr w:type="spellStart"/>
      <w:r w:rsidRPr="006F33FF">
        <w:t>anaemia</w:t>
      </w:r>
      <w:proofErr w:type="spellEnd"/>
      <w:r w:rsidRPr="006F33FF">
        <w:t xml:space="preserve"> prior to elective major abdominal surgery, there was no benefit</w:t>
      </w:r>
      <w:r>
        <w:t xml:space="preserve"> </w:t>
      </w:r>
      <w:r w:rsidRPr="006F33FF">
        <w:t>from giving intravenous iron before the operation.</w:t>
      </w:r>
      <w:r>
        <w:t xml:space="preserve">  </w:t>
      </w:r>
    </w:p>
    <w:p w14:paraId="0A6DD8A4" w14:textId="77777777" w:rsidR="006F33FF" w:rsidRDefault="006F33FF" w:rsidP="006F33FF"/>
    <w:p w14:paraId="4DCC09ED" w14:textId="5AB51F55" w:rsidR="00FA7458" w:rsidRPr="00FA7458" w:rsidRDefault="00FA7458" w:rsidP="00FA7458">
      <w:r>
        <w:t>9</w:t>
      </w:r>
      <w:r w:rsidRPr="00FA7458">
        <w:t>.</w:t>
      </w:r>
      <w:r w:rsidRPr="00FA7458">
        <w:tab/>
        <w:t xml:space="preserve">Ellermann I, </w:t>
      </w:r>
      <w:proofErr w:type="spellStart"/>
      <w:r w:rsidRPr="00FA7458">
        <w:t>Bueckmann</w:t>
      </w:r>
      <w:proofErr w:type="spellEnd"/>
      <w:r w:rsidRPr="00FA7458">
        <w:t xml:space="preserve"> A, Eveslage M, et al. Treating Anemia in the </w:t>
      </w:r>
      <w:proofErr w:type="spellStart"/>
      <w:r w:rsidRPr="00FA7458">
        <w:t>Preanesthesia</w:t>
      </w:r>
      <w:proofErr w:type="spellEnd"/>
      <w:r w:rsidRPr="00FA7458">
        <w:t xml:space="preserve"> Assessment Clinic: Results of a Retrospective Evaluation. Anesthesia and analgesia 2018;127(5):1202-1210. DOI: 10.1213/ane.0000000000003583.</w:t>
      </w:r>
    </w:p>
    <w:p w14:paraId="72BA5828" w14:textId="18F9C0E7" w:rsidR="006F33FF" w:rsidRDefault="00856ECE" w:rsidP="000A07DF">
      <w:r w:rsidRPr="00856ECE">
        <w:rPr>
          <w:b/>
          <w:bCs/>
        </w:rPr>
        <w:t>METHODS</w:t>
      </w:r>
      <w:r w:rsidRPr="00856ECE">
        <w:t>: Between April 1, 2014, and July 4, 2016, patients scheduled for elective surgery with</w:t>
      </w:r>
      <w:r>
        <w:t xml:space="preserve"> </w:t>
      </w:r>
      <w:r w:rsidRPr="00856ECE">
        <w:t>a risk for RBC transfusions &gt;10% in 2013 were screened for preoperative anemia and, if indicated,</w:t>
      </w:r>
      <w:r>
        <w:t xml:space="preserve"> </w:t>
      </w:r>
      <w:r w:rsidRPr="00856ECE">
        <w:t>treated with</w:t>
      </w:r>
      <w:r>
        <w:t xml:space="preserve"> intravenous iron</w:t>
      </w:r>
      <w:r w:rsidRPr="00856ECE">
        <w:t xml:space="preserve"> </w:t>
      </w:r>
      <w:r>
        <w:t>(</w:t>
      </w:r>
      <w:r w:rsidRPr="00856ECE">
        <w:t>IVI</w:t>
      </w:r>
      <w:r>
        <w:t>)</w:t>
      </w:r>
      <w:r w:rsidRPr="00856ECE">
        <w:t>.</w:t>
      </w:r>
      <w:r w:rsidR="00EB2FA3">
        <w:t xml:space="preserve">  </w:t>
      </w:r>
      <w:r w:rsidR="00EB2FA3">
        <w:br/>
      </w:r>
      <w:r w:rsidR="00EB2FA3" w:rsidRPr="00EB2FA3">
        <w:rPr>
          <w:b/>
          <w:bCs/>
        </w:rPr>
        <w:t>RESULTS</w:t>
      </w:r>
      <w:r w:rsidR="00EB2FA3" w:rsidRPr="00EB2FA3">
        <w:t xml:space="preserve">: A total of 1101 patients were seen in the anesthesia/PBM clinic between days </w:t>
      </w:r>
      <w:r w:rsidR="00EB2FA3" w:rsidRPr="00EB2FA3">
        <w:rPr>
          <w:rFonts w:hint="eastAsia"/>
        </w:rPr>
        <w:t>−</w:t>
      </w:r>
      <w:r w:rsidR="00EB2FA3" w:rsidRPr="00EB2FA3">
        <w:t>28</w:t>
      </w:r>
      <w:r w:rsidR="000A07DF">
        <w:t xml:space="preserve"> </w:t>
      </w:r>
      <w:r w:rsidR="00EB2FA3" w:rsidRPr="00EB2FA3">
        <w:t xml:space="preserve">and </w:t>
      </w:r>
      <w:r w:rsidR="00EB2FA3" w:rsidRPr="00EB2FA3">
        <w:rPr>
          <w:rFonts w:hint="eastAsia"/>
        </w:rPr>
        <w:t>−</w:t>
      </w:r>
      <w:r w:rsidR="00EB2FA3" w:rsidRPr="00EB2FA3">
        <w:t>1 (median [Q1</w:t>
      </w:r>
      <w:r w:rsidR="00EB2FA3" w:rsidRPr="00EB2FA3">
        <w:rPr>
          <w:rFonts w:hint="eastAsia"/>
        </w:rPr>
        <w:t>–</w:t>
      </w:r>
      <w:r w:rsidR="00EB2FA3" w:rsidRPr="00EB2FA3">
        <w:t xml:space="preserve">Q3], </w:t>
      </w:r>
      <w:r w:rsidR="00EB2FA3" w:rsidRPr="00EB2FA3">
        <w:rPr>
          <w:rFonts w:hint="eastAsia"/>
        </w:rPr>
        <w:t>−</w:t>
      </w:r>
      <w:r w:rsidR="00EB2FA3" w:rsidRPr="00EB2FA3">
        <w:t>3 days [</w:t>
      </w:r>
      <w:r w:rsidR="00EB2FA3" w:rsidRPr="00EB2FA3">
        <w:rPr>
          <w:rFonts w:hint="eastAsia"/>
        </w:rPr>
        <w:t>−</w:t>
      </w:r>
      <w:r w:rsidR="00EB2FA3" w:rsidRPr="00EB2FA3">
        <w:t xml:space="preserve">1, </w:t>
      </w:r>
      <w:r w:rsidR="00EB2FA3" w:rsidRPr="00EB2FA3">
        <w:rPr>
          <w:rFonts w:hint="eastAsia"/>
        </w:rPr>
        <w:t>−</w:t>
      </w:r>
      <w:r w:rsidR="00EB2FA3" w:rsidRPr="00EB2FA3">
        <w:t>9 days]) before elective surgery. Approximately 29%</w:t>
      </w:r>
      <w:r w:rsidR="000A07DF">
        <w:t xml:space="preserve"> </w:t>
      </w:r>
      <w:r w:rsidR="00EB2FA3" w:rsidRPr="00EB2FA3">
        <w:t>of patients presented with anemia, 46.8% of these anemic patients were treated with ferric</w:t>
      </w:r>
      <w:r w:rsidR="000A07DF">
        <w:t xml:space="preserve"> </w:t>
      </w:r>
      <w:proofErr w:type="spellStart"/>
      <w:r w:rsidR="00EB2FA3" w:rsidRPr="00EB2FA3">
        <w:t>carboxymaltose</w:t>
      </w:r>
      <w:proofErr w:type="spellEnd"/>
      <w:r w:rsidR="00EB2FA3" w:rsidRPr="00EB2FA3">
        <w:t xml:space="preserve"> (500</w:t>
      </w:r>
      <w:r w:rsidR="00EB2FA3" w:rsidRPr="00EB2FA3">
        <w:rPr>
          <w:rFonts w:hint="eastAsia"/>
        </w:rPr>
        <w:t>–</w:t>
      </w:r>
      <w:r w:rsidR="00EB2FA3" w:rsidRPr="00EB2FA3">
        <w:t>1000 mg).</w:t>
      </w:r>
      <w:r w:rsidR="000A07DF">
        <w:t xml:space="preserve">  </w:t>
      </w:r>
      <w:r w:rsidR="000A07DF">
        <w:br/>
      </w:r>
      <w:r w:rsidR="000A07DF" w:rsidRPr="000A07DF">
        <w:t>In the primary analysis, hemoglobin levels at median were associated with a reduction between</w:t>
      </w:r>
      <w:r w:rsidR="000A07DF">
        <w:t xml:space="preserve"> </w:t>
      </w:r>
      <w:r w:rsidR="000A07DF" w:rsidRPr="000A07DF">
        <w:t>the visit in the anesthesia/PBM clinic and the surgery in all nonanemic patients on beginning</w:t>
      </w:r>
      <w:r w:rsidR="000A07DF">
        <w:t xml:space="preserve"> </w:t>
      </w:r>
      <w:r w:rsidR="000A07DF" w:rsidRPr="000A07DF">
        <w:t xml:space="preserve">of medical treatment (nonanemic patients at median </w:t>
      </w:r>
      <w:r w:rsidR="000A07DF" w:rsidRPr="000A07DF">
        <w:rPr>
          <w:rFonts w:hint="eastAsia"/>
        </w:rPr>
        <w:t>−</w:t>
      </w:r>
      <w:r w:rsidR="000A07DF" w:rsidRPr="000A07DF">
        <w:t>2.8 g/dL [</w:t>
      </w:r>
      <w:r w:rsidR="000A07DF" w:rsidRPr="000A07DF">
        <w:rPr>
          <w:rFonts w:hint="eastAsia"/>
        </w:rPr>
        <w:t>−</w:t>
      </w:r>
      <w:r w:rsidR="000A07DF" w:rsidRPr="000A07DF">
        <w:t xml:space="preserve">4, </w:t>
      </w:r>
      <w:r w:rsidR="000A07DF" w:rsidRPr="000A07DF">
        <w:rPr>
          <w:rFonts w:hint="eastAsia"/>
        </w:rPr>
        <w:t>−</w:t>
      </w:r>
      <w:r w:rsidR="000A07DF" w:rsidRPr="000A07DF">
        <w:t>0.9 g/dL], while anemic</w:t>
      </w:r>
      <w:r w:rsidR="000A07DF">
        <w:t xml:space="preserve"> </w:t>
      </w:r>
      <w:r w:rsidR="000A07DF" w:rsidRPr="000A07DF">
        <w:t xml:space="preserve">patients without IVI presented with median differences of </w:t>
      </w:r>
      <w:r w:rsidR="000A07DF" w:rsidRPr="000A07DF">
        <w:rPr>
          <w:rFonts w:hint="eastAsia"/>
        </w:rPr>
        <w:t>−</w:t>
      </w:r>
      <w:r w:rsidR="000A07DF" w:rsidRPr="000A07DF">
        <w:t>0.8 g/dL [</w:t>
      </w:r>
      <w:r w:rsidR="000A07DF" w:rsidRPr="000A07DF">
        <w:rPr>
          <w:rFonts w:hint="eastAsia"/>
        </w:rPr>
        <w:t>−</w:t>
      </w:r>
      <w:r w:rsidR="000A07DF" w:rsidRPr="000A07DF">
        <w:t>2, 0 g/dL] and anemic</w:t>
      </w:r>
      <w:r w:rsidR="000A07DF">
        <w:t xml:space="preserve"> </w:t>
      </w:r>
      <w:r w:rsidR="000A07DF" w:rsidRPr="000A07DF">
        <w:t>patients with IVI of 0 g/dL [</w:t>
      </w:r>
      <w:r w:rsidR="000A07DF" w:rsidRPr="000A07DF">
        <w:rPr>
          <w:rFonts w:hint="eastAsia"/>
        </w:rPr>
        <w:t>−</w:t>
      </w:r>
      <w:r w:rsidR="000A07DF" w:rsidRPr="000A07DF">
        <w:t>1.0, 0.5 g/dL]). Hemoglobin levels raised best at substitution 22</w:t>
      </w:r>
      <w:r w:rsidR="000A07DF" w:rsidRPr="000A07DF">
        <w:rPr>
          <w:rFonts w:hint="eastAsia"/>
        </w:rPr>
        <w:t>–</w:t>
      </w:r>
      <w:r w:rsidR="000A07DF" w:rsidRPr="000A07DF">
        <w:t>28</w:t>
      </w:r>
      <w:r w:rsidR="000A07DF">
        <w:t xml:space="preserve"> </w:t>
      </w:r>
      <w:r w:rsidR="000A07DF" w:rsidRPr="000A07DF">
        <w:t>days before surgery (0.95 g/dL [</w:t>
      </w:r>
      <w:r w:rsidR="000A07DF" w:rsidRPr="000A07DF">
        <w:rPr>
          <w:rFonts w:hint="eastAsia"/>
        </w:rPr>
        <w:t>−</w:t>
      </w:r>
      <w:r w:rsidR="000A07DF" w:rsidRPr="000A07DF">
        <w:t>0.35, 1.18 g/dL]). Due to the selection criteria, transfusion</w:t>
      </w:r>
      <w:r w:rsidR="000A07DF">
        <w:t xml:space="preserve"> </w:t>
      </w:r>
      <w:r w:rsidR="000A07DF" w:rsidRPr="000A07DF">
        <w:t>rates were high in the cohort. Overall, there was no association between IVI treatment and the</w:t>
      </w:r>
      <w:r w:rsidR="000A07DF">
        <w:t xml:space="preserve"> </w:t>
      </w:r>
      <w:r w:rsidR="000A07DF" w:rsidRPr="000A07DF">
        <w:t>use of RBC transfusions (odds ratio for use of RBCs in anemic patients, no IVI versus IVI: 1.14;</w:t>
      </w:r>
      <w:r w:rsidR="000A07DF">
        <w:t xml:space="preserve"> </w:t>
      </w:r>
      <w:r w:rsidR="000A07DF" w:rsidRPr="000A07DF">
        <w:t>95% confidence interval, 0.72</w:t>
      </w:r>
      <w:r w:rsidR="000A07DF" w:rsidRPr="000A07DF">
        <w:rPr>
          <w:rFonts w:hint="eastAsia"/>
        </w:rPr>
        <w:t>–</w:t>
      </w:r>
      <w:r w:rsidR="000A07DF" w:rsidRPr="000A07DF">
        <w:t>1.82).</w:t>
      </w:r>
      <w:r w:rsidR="000A07DF">
        <w:t xml:space="preserve">  </w:t>
      </w:r>
      <w:r w:rsidR="000A07DF">
        <w:br/>
      </w:r>
      <w:r w:rsidR="000A07DF" w:rsidRPr="000A07DF">
        <w:rPr>
          <w:b/>
          <w:bCs/>
        </w:rPr>
        <w:t>CONCLUSIONS</w:t>
      </w:r>
      <w:r w:rsidR="000A07DF" w:rsidRPr="000A07DF">
        <w:t xml:space="preserve">: An anemia clinic within the </w:t>
      </w:r>
      <w:proofErr w:type="spellStart"/>
      <w:r w:rsidR="000A07DF" w:rsidRPr="000A07DF">
        <w:t>preanesthesia</w:t>
      </w:r>
      <w:proofErr w:type="spellEnd"/>
      <w:r w:rsidR="000A07DF" w:rsidRPr="000A07DF">
        <w:t xml:space="preserve"> assessment clinic is a feasible and effective</w:t>
      </w:r>
      <w:r w:rsidR="000A07DF">
        <w:t xml:space="preserve"> </w:t>
      </w:r>
      <w:r w:rsidR="000A07DF" w:rsidRPr="000A07DF">
        <w:t>approach to treat preoperative anemia. The IVI supplementation was safe but was associated with</w:t>
      </w:r>
      <w:r w:rsidR="000A07DF">
        <w:t xml:space="preserve"> </w:t>
      </w:r>
      <w:r w:rsidR="000A07DF" w:rsidRPr="000A07DF">
        <w:t>decreased RBC transfusions in gynecology/obstetric patients only. The conclusions from this retrospective</w:t>
      </w:r>
      <w:r w:rsidR="000A07DF">
        <w:t xml:space="preserve"> </w:t>
      </w:r>
      <w:r w:rsidR="000A07DF" w:rsidRPr="000A07DF">
        <w:t>analysis have to be tested in prospective, controlled trials.</w:t>
      </w:r>
      <w:r w:rsidR="000A07DF">
        <w:t xml:space="preserve">  </w:t>
      </w:r>
    </w:p>
    <w:p w14:paraId="4007A2EA" w14:textId="77777777" w:rsidR="000A07DF" w:rsidRDefault="000A07DF" w:rsidP="000A07DF"/>
    <w:p w14:paraId="172F8124" w14:textId="775748C7" w:rsidR="00583E19" w:rsidRPr="00583E19" w:rsidRDefault="000A07DF" w:rsidP="00583E19">
      <w:r>
        <w:t>10</w:t>
      </w:r>
      <w:r w:rsidR="00583E19" w:rsidRPr="00583E19">
        <w:t>.</w:t>
      </w:r>
      <w:r w:rsidR="00583E19" w:rsidRPr="00583E19">
        <w:tab/>
        <w:t>Guinn NR, Fuller M, Murray S, Aronson S. Treatment through a preoperative anemia clinic is associated with a reduction in perioperative red blood cell transfusion in patients undergoing orthopedic and gynecologic surgery. Transfusion 2022;62(4):809-816. DOI: 10.1111/trf.16847.</w:t>
      </w:r>
    </w:p>
    <w:p w14:paraId="6081B823" w14:textId="56AE113C" w:rsidR="000A07DF" w:rsidRDefault="00AE4441" w:rsidP="00AE4441">
      <w:r w:rsidRPr="00AE4441">
        <w:rPr>
          <w:b/>
          <w:bCs/>
        </w:rPr>
        <w:t>Study Design and Methods</w:t>
      </w:r>
      <w:r w:rsidRPr="00AE4441">
        <w:t>: Adult patients undergoing elective orthopedic</w:t>
      </w:r>
      <w:r>
        <w:t xml:space="preserve"> </w:t>
      </w:r>
      <w:r w:rsidRPr="00AE4441">
        <w:t>and gynecologic surgery with preoperative anemia were identified and referred</w:t>
      </w:r>
      <w:r>
        <w:t xml:space="preserve"> </w:t>
      </w:r>
      <w:r w:rsidRPr="00AE4441">
        <w:t xml:space="preserve">for hemoglobin optimization with iron and/or </w:t>
      </w:r>
      <w:r w:rsidRPr="00AE4441">
        <w:lastRenderedPageBreak/>
        <w:t>erythropoietin from a single-site</w:t>
      </w:r>
      <w:r>
        <w:t xml:space="preserve"> </w:t>
      </w:r>
      <w:r w:rsidRPr="00AE4441">
        <w:t>academic health center. Treated patients were propensity matched to</w:t>
      </w:r>
      <w:r>
        <w:t xml:space="preserve"> </w:t>
      </w:r>
      <w:r w:rsidRPr="00AE4441">
        <w:t>untreated controls and compared on outcomes of erythrocyte transfusion,</w:t>
      </w:r>
      <w:r>
        <w:t xml:space="preserve"> </w:t>
      </w:r>
      <w:r w:rsidRPr="00AE4441">
        <w:t>length of stay (LOS), and readmission. Changes in hemoglobin relative to</w:t>
      </w:r>
      <w:r>
        <w:t xml:space="preserve"> </w:t>
      </w:r>
      <w:r w:rsidRPr="00AE4441">
        <w:t xml:space="preserve">treatment time before surgery were also measured in the </w:t>
      </w:r>
      <w:proofErr w:type="gramStart"/>
      <w:r w:rsidRPr="00AE4441">
        <w:t>treated</w:t>
      </w:r>
      <w:proofErr w:type="gramEnd"/>
      <w:r w:rsidRPr="00AE4441">
        <w:t xml:space="preserve"> cohort.</w:t>
      </w:r>
      <w:r>
        <w:t xml:space="preserve">  </w:t>
      </w:r>
      <w:r>
        <w:br/>
      </w:r>
      <w:r w:rsidRPr="00AE4441">
        <w:rPr>
          <w:b/>
          <w:bCs/>
        </w:rPr>
        <w:t>Results</w:t>
      </w:r>
      <w:r w:rsidRPr="00AE4441">
        <w:t>: One thousand three hundred thirty-two patients were evaluated</w:t>
      </w:r>
      <w:r>
        <w:t xml:space="preserve"> </w:t>
      </w:r>
      <w:r w:rsidRPr="00AE4441">
        <w:t>between July 2015 and March 2021, of which 161 underwent optimization</w:t>
      </w:r>
      <w:r>
        <w:t xml:space="preserve"> </w:t>
      </w:r>
      <w:r w:rsidRPr="00AE4441">
        <w:t>through the PAC. After propensity matching, 127 (98 orthopedic and 29 gynecology)</w:t>
      </w:r>
      <w:r>
        <w:t xml:space="preserve"> </w:t>
      </w:r>
      <w:r w:rsidRPr="00AE4441">
        <w:t>PAC-treated patients were compared to 127 (98 orthopedic and</w:t>
      </w:r>
      <w:r>
        <w:t xml:space="preserve"> </w:t>
      </w:r>
      <w:r w:rsidRPr="00AE4441">
        <w:t>29 gynecology) control patients who did not undergo treatment. The primary</w:t>
      </w:r>
      <w:r>
        <w:t xml:space="preserve"> </w:t>
      </w:r>
      <w:r w:rsidRPr="00AE4441">
        <w:t>outcome of perioperative transfusion was significantly lower in treated patients</w:t>
      </w:r>
      <w:r>
        <w:t xml:space="preserve"> </w:t>
      </w:r>
      <w:r w:rsidRPr="00AE4441">
        <w:t>compared with matched controls (12.60% vs. 26.77%, p = .005). A lower LOS</w:t>
      </w:r>
      <w:r>
        <w:t xml:space="preserve"> </w:t>
      </w:r>
      <w:r w:rsidRPr="00AE4441">
        <w:t>was demonstrated in the gynecologic PAC subgroup (2.2 [1.5, 2.4] vs. 3.1 [2.2,</w:t>
      </w:r>
      <w:r>
        <w:t xml:space="preserve"> </w:t>
      </w:r>
      <w:r w:rsidRPr="00AE4441">
        <w:t>3.4], p = .002). Each day of treatment time before surgery was associated with</w:t>
      </w:r>
      <w:r>
        <w:t xml:space="preserve"> </w:t>
      </w:r>
      <w:r w:rsidRPr="00AE4441">
        <w:t>an increase of 0.040 g/dL hemoglobin (p &lt; .001) until 65 days, after which further</w:t>
      </w:r>
      <w:r>
        <w:br/>
      </w:r>
      <w:r w:rsidRPr="00AE4441">
        <w:t>time did not increase hemoglobin.</w:t>
      </w:r>
      <w:r>
        <w:t xml:space="preserve">  </w:t>
      </w:r>
      <w:r>
        <w:br/>
      </w:r>
      <w:r w:rsidRPr="00AE4441">
        <w:rPr>
          <w:b/>
          <w:bCs/>
        </w:rPr>
        <w:t>Conclusion</w:t>
      </w:r>
      <w:r w:rsidRPr="00AE4441">
        <w:t>: Treatment through a preoperative anemia clinic is associated</w:t>
      </w:r>
      <w:r>
        <w:t xml:space="preserve"> </w:t>
      </w:r>
      <w:r w:rsidRPr="00AE4441">
        <w:t>with a reduction in perioperative transfusion and possible reduction in LOS</w:t>
      </w:r>
      <w:r>
        <w:t xml:space="preserve"> </w:t>
      </w:r>
      <w:r w:rsidRPr="00AE4441">
        <w:t xml:space="preserve">and </w:t>
      </w:r>
      <w:proofErr w:type="gramStart"/>
      <w:r w:rsidRPr="00AE4441">
        <w:t>readmission</w:t>
      </w:r>
      <w:proofErr w:type="gramEnd"/>
      <w:r w:rsidRPr="00AE4441">
        <w:t xml:space="preserve"> compared with matched controls. Additionally, treatment</w:t>
      </w:r>
      <w:r>
        <w:t xml:space="preserve"> </w:t>
      </w:r>
      <w:r w:rsidRPr="00AE4441">
        <w:t>time before surgery is correlated with a greater increase in hemoglobin up</w:t>
      </w:r>
      <w:r>
        <w:t xml:space="preserve"> </w:t>
      </w:r>
      <w:proofErr w:type="gramStart"/>
      <w:r w:rsidRPr="00AE4441">
        <w:t>until</w:t>
      </w:r>
      <w:proofErr w:type="gramEnd"/>
      <w:r w:rsidRPr="00AE4441">
        <w:t xml:space="preserve"> 2 months prior to surgery.</w:t>
      </w:r>
      <w:r>
        <w:t xml:space="preserve">  </w:t>
      </w:r>
    </w:p>
    <w:p w14:paraId="6FDAB706" w14:textId="77777777" w:rsidR="00AE4441" w:rsidRDefault="00AE4441" w:rsidP="00AE4441"/>
    <w:p w14:paraId="50D9641C" w14:textId="77777777" w:rsidR="00AE4441" w:rsidRDefault="00AE4441" w:rsidP="00AE4441"/>
    <w:sectPr w:rsidR="00AE4441" w:rsidSect="00AE4441">
      <w:pgSz w:w="12240" w:h="15840"/>
      <w:pgMar w:top="1440" w:right="117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36"/>
    <w:rsid w:val="0004780A"/>
    <w:rsid w:val="000820D7"/>
    <w:rsid w:val="00091C7C"/>
    <w:rsid w:val="00093460"/>
    <w:rsid w:val="000A07DF"/>
    <w:rsid w:val="00123CC6"/>
    <w:rsid w:val="001B0FA3"/>
    <w:rsid w:val="001C1DD3"/>
    <w:rsid w:val="001E0F13"/>
    <w:rsid w:val="001E418C"/>
    <w:rsid w:val="00216DE8"/>
    <w:rsid w:val="002464B1"/>
    <w:rsid w:val="002617FC"/>
    <w:rsid w:val="003044EF"/>
    <w:rsid w:val="0044400C"/>
    <w:rsid w:val="0044456B"/>
    <w:rsid w:val="00450D6B"/>
    <w:rsid w:val="00470795"/>
    <w:rsid w:val="004C7234"/>
    <w:rsid w:val="00510A9E"/>
    <w:rsid w:val="00516934"/>
    <w:rsid w:val="00583E19"/>
    <w:rsid w:val="006009FD"/>
    <w:rsid w:val="006115DB"/>
    <w:rsid w:val="00620EA3"/>
    <w:rsid w:val="006A300B"/>
    <w:rsid w:val="006C73D0"/>
    <w:rsid w:val="006D006F"/>
    <w:rsid w:val="006E663E"/>
    <w:rsid w:val="006F33FF"/>
    <w:rsid w:val="006F7A13"/>
    <w:rsid w:val="007575DD"/>
    <w:rsid w:val="00775B26"/>
    <w:rsid w:val="007A6E82"/>
    <w:rsid w:val="007E5B36"/>
    <w:rsid w:val="007F09EF"/>
    <w:rsid w:val="00835F1F"/>
    <w:rsid w:val="00856ECE"/>
    <w:rsid w:val="0088615D"/>
    <w:rsid w:val="008B2FB3"/>
    <w:rsid w:val="008B4E25"/>
    <w:rsid w:val="008E0BBD"/>
    <w:rsid w:val="00960DCA"/>
    <w:rsid w:val="009D282E"/>
    <w:rsid w:val="009E3FE0"/>
    <w:rsid w:val="009E6A75"/>
    <w:rsid w:val="009F1872"/>
    <w:rsid w:val="00A24D9E"/>
    <w:rsid w:val="00A77CFE"/>
    <w:rsid w:val="00AE4441"/>
    <w:rsid w:val="00B3069F"/>
    <w:rsid w:val="00B30B2A"/>
    <w:rsid w:val="00B34C70"/>
    <w:rsid w:val="00B82355"/>
    <w:rsid w:val="00B82510"/>
    <w:rsid w:val="00BA1FCD"/>
    <w:rsid w:val="00BA2211"/>
    <w:rsid w:val="00C26A08"/>
    <w:rsid w:val="00C35AFE"/>
    <w:rsid w:val="00C752B0"/>
    <w:rsid w:val="00CB5D13"/>
    <w:rsid w:val="00CB7030"/>
    <w:rsid w:val="00CC7810"/>
    <w:rsid w:val="00CF7996"/>
    <w:rsid w:val="00D0153D"/>
    <w:rsid w:val="00D07992"/>
    <w:rsid w:val="00D15211"/>
    <w:rsid w:val="00E1643A"/>
    <w:rsid w:val="00E45AEB"/>
    <w:rsid w:val="00EB2FA3"/>
    <w:rsid w:val="00EC325A"/>
    <w:rsid w:val="00F5552E"/>
    <w:rsid w:val="00F640CA"/>
    <w:rsid w:val="00FA7458"/>
    <w:rsid w:val="00FB4632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0674"/>
  <w15:chartTrackingRefBased/>
  <w15:docId w15:val="{5ADB4C15-79EC-4792-9A4D-9FB651A3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78993558-62CC-437B-9D5F-B00658627313}"/>
</file>

<file path=customXml/itemProps2.xml><?xml version="1.0" encoding="utf-8"?>
<ds:datastoreItem xmlns:ds="http://schemas.openxmlformats.org/officeDocument/2006/customXml" ds:itemID="{FB3A9A61-EBB9-4C82-A7F6-404DA62F901C}"/>
</file>

<file path=customXml/itemProps3.xml><?xml version="1.0" encoding="utf-8"?>
<ds:datastoreItem xmlns:ds="http://schemas.openxmlformats.org/officeDocument/2006/customXml" ds:itemID="{2546E61A-BEF4-48FC-9C97-F8FE5554E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3178</Words>
  <Characters>19929</Characters>
  <Application>Microsoft Office Word</Application>
  <DocSecurity>0</DocSecurity>
  <Lines>415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P Dellinger</dc:creator>
  <cp:keywords/>
  <dc:description/>
  <cp:lastModifiedBy>Beth Bojkov</cp:lastModifiedBy>
  <cp:revision>2</cp:revision>
  <dcterms:created xsi:type="dcterms:W3CDTF">2025-01-27T23:48:00Z</dcterms:created>
  <dcterms:modified xsi:type="dcterms:W3CDTF">2025-01-27T23:48:00Z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</Properties>
</file>